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60" w:rsidRPr="007A048E" w:rsidRDefault="00C94B60" w:rsidP="00C94B60">
      <w:pPr>
        <w:rPr>
          <w:b/>
          <w:sz w:val="28"/>
          <w:u w:val="single"/>
        </w:rPr>
      </w:pPr>
      <w:r>
        <w:rPr>
          <w:b/>
          <w:sz w:val="28"/>
          <w:u w:val="single"/>
        </w:rPr>
        <w:t>Thoracic Spine</w:t>
      </w:r>
      <w:r w:rsidRPr="007A048E">
        <w:rPr>
          <w:b/>
          <w:sz w:val="28"/>
          <w:u w:val="single"/>
        </w:rPr>
        <w:t xml:space="preserve"> </w:t>
      </w:r>
      <w:r>
        <w:rPr>
          <w:b/>
          <w:sz w:val="28"/>
          <w:u w:val="single"/>
        </w:rPr>
        <w:t>MRI</w:t>
      </w:r>
    </w:p>
    <w:p w:rsidR="00C94B60" w:rsidRDefault="00C94B60" w:rsidP="007A048E">
      <w:pPr>
        <w:rPr>
          <w:b/>
        </w:rPr>
      </w:pPr>
    </w:p>
    <w:p w:rsidR="00C94B60" w:rsidRDefault="00C94B60" w:rsidP="007A048E">
      <w:pPr>
        <w:rPr>
          <w:b/>
        </w:rPr>
      </w:pPr>
      <w:bookmarkStart w:id="0" w:name="_GoBack"/>
      <w:bookmarkEnd w:id="0"/>
    </w:p>
    <w:p w:rsidR="007A048E" w:rsidRDefault="007A048E" w:rsidP="007A048E">
      <w:pPr>
        <w:pStyle w:val="ListParagraph"/>
        <w:numPr>
          <w:ilvl w:val="0"/>
          <w:numId w:val="1"/>
        </w:numPr>
        <w:ind w:left="450" w:hanging="450"/>
        <w:rPr>
          <w:b/>
        </w:rPr>
      </w:pPr>
      <w:r w:rsidRPr="0039624D">
        <w:rPr>
          <w:b/>
        </w:rPr>
        <w:t>Clinical Indications for Procedure</w:t>
      </w:r>
    </w:p>
    <w:p w:rsidR="00A31E78" w:rsidRPr="00A31E78" w:rsidRDefault="00A31E78" w:rsidP="00A31E78">
      <w:pPr>
        <w:rPr>
          <w:b/>
        </w:rPr>
      </w:pPr>
    </w:p>
    <w:p w:rsidR="007A048E" w:rsidRDefault="007F47A0" w:rsidP="007A048E">
      <w:pPr>
        <w:pStyle w:val="ListParagraph"/>
        <w:numPr>
          <w:ilvl w:val="1"/>
          <w:numId w:val="1"/>
        </w:numPr>
      </w:pPr>
      <w:r>
        <w:t xml:space="preserve">Thoracic spine </w:t>
      </w:r>
      <w:r w:rsidR="00791926">
        <w:t>MRI</w:t>
      </w:r>
      <w:r>
        <w:t xml:space="preserve"> may be indicated for </w:t>
      </w:r>
      <w:r w:rsidR="007A048E" w:rsidRPr="00182A5F">
        <w:t xml:space="preserve">1 </w:t>
      </w:r>
      <w:r w:rsidR="007A048E" w:rsidRPr="005479AF">
        <w:rPr>
          <w:b/>
        </w:rPr>
        <w:t>or more</w:t>
      </w:r>
      <w:r w:rsidR="007A048E">
        <w:t xml:space="preserve"> of the following:</w:t>
      </w:r>
    </w:p>
    <w:p w:rsidR="007A048E" w:rsidRDefault="00791926" w:rsidP="007A048E">
      <w:pPr>
        <w:pStyle w:val="ListParagraph"/>
        <w:numPr>
          <w:ilvl w:val="2"/>
          <w:numId w:val="1"/>
        </w:numPr>
        <w:ind w:left="1620" w:hanging="270"/>
      </w:pPr>
      <w:r>
        <w:t xml:space="preserve">Evidence of cord compression or myelopathy, as indicated by 1 </w:t>
      </w:r>
      <w:r w:rsidRPr="00791926">
        <w:rPr>
          <w:b/>
        </w:rPr>
        <w:t>or more</w:t>
      </w:r>
      <w:r>
        <w:t xml:space="preserve"> of the following</w:t>
      </w:r>
      <w:r w:rsidR="007F47A0">
        <w:t>:</w:t>
      </w:r>
    </w:p>
    <w:p w:rsidR="007F47A0" w:rsidRDefault="00791926" w:rsidP="00791926">
      <w:pPr>
        <w:pStyle w:val="ListParagraph"/>
        <w:numPr>
          <w:ilvl w:val="3"/>
          <w:numId w:val="1"/>
        </w:numPr>
        <w:ind w:left="2160"/>
      </w:pPr>
      <w:r>
        <w:t>Urinary urgency, frequency, retention, or overflow incontinence</w:t>
      </w:r>
    </w:p>
    <w:p w:rsidR="00791926" w:rsidRDefault="00791926" w:rsidP="00791926">
      <w:pPr>
        <w:pStyle w:val="ListParagraph"/>
        <w:numPr>
          <w:ilvl w:val="3"/>
          <w:numId w:val="1"/>
        </w:numPr>
        <w:ind w:left="2160"/>
      </w:pPr>
      <w:r>
        <w:t>Spasticity</w:t>
      </w:r>
    </w:p>
    <w:p w:rsidR="00791926" w:rsidRDefault="00791926" w:rsidP="00791926">
      <w:pPr>
        <w:pStyle w:val="ListParagraph"/>
        <w:numPr>
          <w:ilvl w:val="3"/>
          <w:numId w:val="1"/>
        </w:numPr>
        <w:ind w:left="2160"/>
      </w:pPr>
      <w:r>
        <w:t>Fecal incontinence</w:t>
      </w:r>
    </w:p>
    <w:p w:rsidR="00791926" w:rsidRDefault="00791926" w:rsidP="00791926">
      <w:pPr>
        <w:pStyle w:val="ListParagraph"/>
        <w:numPr>
          <w:ilvl w:val="3"/>
          <w:numId w:val="1"/>
        </w:numPr>
        <w:ind w:left="2160"/>
      </w:pPr>
      <w:r>
        <w:t>Significant or progressive sensory or motor deficit</w:t>
      </w:r>
    </w:p>
    <w:p w:rsidR="00791926" w:rsidRDefault="00791926" w:rsidP="00791926">
      <w:pPr>
        <w:pStyle w:val="ListParagraph"/>
        <w:numPr>
          <w:ilvl w:val="3"/>
          <w:numId w:val="1"/>
        </w:numPr>
        <w:ind w:left="2160"/>
      </w:pPr>
      <w:r>
        <w:t>Hyperreflexia or clonus</w:t>
      </w:r>
    </w:p>
    <w:p w:rsidR="00791926" w:rsidRDefault="00791926" w:rsidP="00791926">
      <w:pPr>
        <w:pStyle w:val="ListParagraph"/>
        <w:numPr>
          <w:ilvl w:val="3"/>
          <w:numId w:val="1"/>
        </w:numPr>
        <w:ind w:left="2160"/>
      </w:pPr>
      <w:r>
        <w:t>Positive Babinski sign</w:t>
      </w:r>
    </w:p>
    <w:p w:rsidR="007F47A0" w:rsidRDefault="00791926" w:rsidP="007F47A0">
      <w:pPr>
        <w:pStyle w:val="ListParagraph"/>
        <w:numPr>
          <w:ilvl w:val="2"/>
          <w:numId w:val="1"/>
        </w:numPr>
      </w:pPr>
      <w:r>
        <w:t xml:space="preserve">Suspected spinal injury, as indicated by 1 </w:t>
      </w:r>
      <w:r>
        <w:rPr>
          <w:b/>
        </w:rPr>
        <w:t>or more</w:t>
      </w:r>
      <w:r>
        <w:t xml:space="preserve"> of the following:</w:t>
      </w:r>
    </w:p>
    <w:p w:rsidR="00791926" w:rsidRDefault="00791926" w:rsidP="00791926">
      <w:pPr>
        <w:pStyle w:val="ListParagraph"/>
        <w:numPr>
          <w:ilvl w:val="3"/>
          <w:numId w:val="1"/>
        </w:numPr>
      </w:pPr>
      <w:r>
        <w:t>Results of plain x-ray or CT nondiagnostic or show abnormal spine motion</w:t>
      </w:r>
    </w:p>
    <w:p w:rsidR="00791926" w:rsidRDefault="00791926" w:rsidP="00791926">
      <w:pPr>
        <w:pStyle w:val="ListParagraph"/>
        <w:numPr>
          <w:ilvl w:val="3"/>
          <w:numId w:val="1"/>
        </w:numPr>
      </w:pPr>
      <w:r>
        <w:t xml:space="preserve">Suspicion of 1 </w:t>
      </w:r>
      <w:r w:rsidRPr="00791926">
        <w:rPr>
          <w:b/>
        </w:rPr>
        <w:t>or more</w:t>
      </w:r>
      <w:r>
        <w:t xml:space="preserve"> of the following:</w:t>
      </w:r>
    </w:p>
    <w:p w:rsidR="00791926" w:rsidRDefault="00791926" w:rsidP="00791926">
      <w:pPr>
        <w:pStyle w:val="ListParagraph"/>
        <w:numPr>
          <w:ilvl w:val="4"/>
          <w:numId w:val="1"/>
        </w:numPr>
      </w:pPr>
      <w:r>
        <w:t>Ligamentous injury</w:t>
      </w:r>
    </w:p>
    <w:p w:rsidR="00791926" w:rsidRDefault="00791926" w:rsidP="00791926">
      <w:pPr>
        <w:pStyle w:val="ListParagraph"/>
        <w:numPr>
          <w:ilvl w:val="4"/>
          <w:numId w:val="1"/>
        </w:numPr>
      </w:pPr>
      <w:r>
        <w:t>Epidural hematoma</w:t>
      </w:r>
    </w:p>
    <w:p w:rsidR="00791926" w:rsidRDefault="00791926" w:rsidP="00791926">
      <w:pPr>
        <w:pStyle w:val="ListParagraph"/>
        <w:numPr>
          <w:ilvl w:val="4"/>
          <w:numId w:val="1"/>
        </w:numPr>
      </w:pPr>
      <w:r>
        <w:t>Traumatic disk herniations</w:t>
      </w:r>
    </w:p>
    <w:p w:rsidR="00791926" w:rsidRDefault="00791926" w:rsidP="00791926">
      <w:pPr>
        <w:pStyle w:val="ListParagraph"/>
        <w:numPr>
          <w:ilvl w:val="3"/>
          <w:numId w:val="1"/>
        </w:numPr>
      </w:pPr>
      <w:r>
        <w:t xml:space="preserve">Neurologic symptoms associated with types of trauma, as indicated by 1 </w:t>
      </w:r>
      <w:r>
        <w:rPr>
          <w:b/>
        </w:rPr>
        <w:t>or more</w:t>
      </w:r>
      <w:r>
        <w:t xml:space="preserve"> of the following:</w:t>
      </w:r>
    </w:p>
    <w:p w:rsidR="00791926" w:rsidRDefault="00791926" w:rsidP="00791926">
      <w:pPr>
        <w:pStyle w:val="ListParagraph"/>
        <w:numPr>
          <w:ilvl w:val="4"/>
          <w:numId w:val="1"/>
        </w:numPr>
      </w:pPr>
      <w:r>
        <w:t>Fall from height greater than 10 feet (3.1 meters)</w:t>
      </w:r>
    </w:p>
    <w:p w:rsidR="00791926" w:rsidRDefault="00791926" w:rsidP="00791926">
      <w:pPr>
        <w:pStyle w:val="ListParagraph"/>
        <w:numPr>
          <w:ilvl w:val="4"/>
          <w:numId w:val="1"/>
        </w:numPr>
      </w:pPr>
      <w:r>
        <w:t>High-speed motor vehicle accident (greater than 60 miles per hour (80.5 km per hour))</w:t>
      </w:r>
    </w:p>
    <w:p w:rsidR="00791926" w:rsidRDefault="00791926" w:rsidP="00791926">
      <w:pPr>
        <w:pStyle w:val="ListParagraph"/>
        <w:numPr>
          <w:ilvl w:val="4"/>
          <w:numId w:val="1"/>
        </w:numPr>
      </w:pPr>
      <w:r>
        <w:t>Motor vehicle accident with acute hyper</w:t>
      </w:r>
      <w:r w:rsidR="00CD0483">
        <w:t>flexion of spine over seat belt</w:t>
      </w:r>
    </w:p>
    <w:p w:rsidR="005926AD" w:rsidRDefault="005926AD" w:rsidP="00791926">
      <w:pPr>
        <w:pStyle w:val="ListParagraph"/>
        <w:numPr>
          <w:ilvl w:val="4"/>
          <w:numId w:val="1"/>
        </w:numPr>
      </w:pPr>
      <w:r>
        <w:t>Ejection from motorcycle</w:t>
      </w:r>
    </w:p>
    <w:p w:rsidR="005926AD" w:rsidRDefault="005926AD" w:rsidP="00791926">
      <w:pPr>
        <w:pStyle w:val="ListParagraph"/>
        <w:numPr>
          <w:ilvl w:val="4"/>
          <w:numId w:val="1"/>
        </w:numPr>
      </w:pPr>
      <w:r>
        <w:t xml:space="preserve">Minimal trauma in osteoporotic patient with suspected </w:t>
      </w:r>
      <w:r w:rsidR="00CD0483">
        <w:t>fragility fracture</w:t>
      </w:r>
    </w:p>
    <w:p w:rsidR="005926AD" w:rsidRDefault="00235711" w:rsidP="005926AD">
      <w:pPr>
        <w:pStyle w:val="ListParagraph"/>
        <w:numPr>
          <w:ilvl w:val="2"/>
          <w:numId w:val="1"/>
        </w:numPr>
      </w:pPr>
      <w:r>
        <w:t>Cancer or c</w:t>
      </w:r>
      <w:r w:rsidR="005926AD">
        <w:t xml:space="preserve">linical suspicion of neoplasm (benign or malignant), primary or metastatic, as indicated by 1 </w:t>
      </w:r>
      <w:r w:rsidR="005926AD">
        <w:rPr>
          <w:b/>
        </w:rPr>
        <w:t>or more</w:t>
      </w:r>
      <w:r w:rsidR="005926AD">
        <w:t xml:space="preserve"> of the following:</w:t>
      </w:r>
    </w:p>
    <w:p w:rsidR="005926AD" w:rsidRDefault="005926AD" w:rsidP="005926AD">
      <w:pPr>
        <w:pStyle w:val="ListParagraph"/>
        <w:numPr>
          <w:ilvl w:val="3"/>
          <w:numId w:val="1"/>
        </w:numPr>
      </w:pPr>
      <w:r>
        <w:t>Back pain in patient with personal history or concurrent diagnosis of malignancy (e.g., malignancy of breast, lung, or prostate)</w:t>
      </w:r>
    </w:p>
    <w:p w:rsidR="005926AD" w:rsidRDefault="005926AD" w:rsidP="005926AD">
      <w:pPr>
        <w:pStyle w:val="ListParagraph"/>
        <w:numPr>
          <w:ilvl w:val="3"/>
          <w:numId w:val="1"/>
        </w:numPr>
      </w:pPr>
      <w:r>
        <w:t xml:space="preserve">Localized thoracic back pain and 1 </w:t>
      </w:r>
      <w:r w:rsidRPr="005926AD">
        <w:rPr>
          <w:b/>
        </w:rPr>
        <w:t>or more</w:t>
      </w:r>
      <w:r>
        <w:t xml:space="preserve"> of the following:</w:t>
      </w:r>
    </w:p>
    <w:p w:rsidR="005926AD" w:rsidRDefault="005926AD" w:rsidP="005926AD">
      <w:pPr>
        <w:pStyle w:val="ListParagraph"/>
        <w:numPr>
          <w:ilvl w:val="4"/>
          <w:numId w:val="1"/>
        </w:numPr>
      </w:pPr>
      <w:r>
        <w:t>Unexplained weight loss</w:t>
      </w:r>
    </w:p>
    <w:p w:rsidR="005926AD" w:rsidRDefault="005926AD" w:rsidP="005926AD">
      <w:pPr>
        <w:pStyle w:val="ListParagraph"/>
        <w:numPr>
          <w:ilvl w:val="4"/>
          <w:numId w:val="1"/>
        </w:numPr>
      </w:pPr>
      <w:r>
        <w:t>Pain occurring mainly at night</w:t>
      </w:r>
    </w:p>
    <w:p w:rsidR="005926AD" w:rsidRDefault="005926AD" w:rsidP="005926AD">
      <w:pPr>
        <w:pStyle w:val="ListParagraph"/>
        <w:numPr>
          <w:ilvl w:val="4"/>
          <w:numId w:val="1"/>
        </w:numPr>
      </w:pPr>
      <w:r>
        <w:t>Rapidly progressing weakness</w:t>
      </w:r>
    </w:p>
    <w:p w:rsidR="005926AD" w:rsidRDefault="005926AD" w:rsidP="005926AD">
      <w:pPr>
        <w:pStyle w:val="ListParagraph"/>
        <w:numPr>
          <w:ilvl w:val="4"/>
          <w:numId w:val="1"/>
        </w:numPr>
      </w:pPr>
      <w:r>
        <w:t>Positive bone scan</w:t>
      </w:r>
    </w:p>
    <w:p w:rsidR="00235711" w:rsidRDefault="00235711" w:rsidP="005926AD">
      <w:pPr>
        <w:pStyle w:val="ListParagraph"/>
        <w:numPr>
          <w:ilvl w:val="4"/>
          <w:numId w:val="1"/>
        </w:numPr>
      </w:pPr>
      <w:r>
        <w:t>History of malignancy</w:t>
      </w:r>
    </w:p>
    <w:p w:rsidR="00235711" w:rsidRDefault="00235711" w:rsidP="005926AD">
      <w:pPr>
        <w:pStyle w:val="ListParagraph"/>
        <w:numPr>
          <w:ilvl w:val="4"/>
          <w:numId w:val="1"/>
        </w:numPr>
      </w:pPr>
      <w:r>
        <w:t>Persistent pain in patient older than 50 years</w:t>
      </w:r>
    </w:p>
    <w:p w:rsidR="00235711" w:rsidRDefault="00235711" w:rsidP="005926AD">
      <w:pPr>
        <w:pStyle w:val="ListParagraph"/>
        <w:numPr>
          <w:ilvl w:val="4"/>
          <w:numId w:val="1"/>
        </w:numPr>
      </w:pPr>
      <w:r>
        <w:t>Post-treatment monitoring</w:t>
      </w:r>
    </w:p>
    <w:p w:rsidR="005926AD" w:rsidRDefault="005926AD" w:rsidP="005926AD">
      <w:pPr>
        <w:pStyle w:val="ListParagraph"/>
        <w:numPr>
          <w:ilvl w:val="2"/>
          <w:numId w:val="1"/>
        </w:numPr>
      </w:pPr>
      <w:r>
        <w:t xml:space="preserve">Clinical suspicion of spinal infection (e.g., vertebral osteomyelitis, disk space infection, epidural abscess), as indicated by </w:t>
      </w:r>
      <w:r w:rsidRPr="005926AD">
        <w:rPr>
          <w:b/>
        </w:rPr>
        <w:t>ALL</w:t>
      </w:r>
      <w:r>
        <w:t xml:space="preserve"> of the following:</w:t>
      </w:r>
    </w:p>
    <w:p w:rsidR="005926AD" w:rsidRDefault="00B729BE" w:rsidP="005926AD">
      <w:pPr>
        <w:pStyle w:val="ListParagraph"/>
        <w:numPr>
          <w:ilvl w:val="3"/>
          <w:numId w:val="1"/>
        </w:numPr>
      </w:pPr>
      <w:r>
        <w:t>Localized midline thoracic back pain</w:t>
      </w:r>
    </w:p>
    <w:p w:rsidR="00B729BE" w:rsidRDefault="00B729BE" w:rsidP="005926AD">
      <w:pPr>
        <w:pStyle w:val="ListParagraph"/>
        <w:numPr>
          <w:ilvl w:val="3"/>
          <w:numId w:val="1"/>
        </w:numPr>
      </w:pPr>
      <w:r>
        <w:t xml:space="preserve">Localized thoracic back pain and 1 </w:t>
      </w:r>
      <w:r w:rsidRPr="00B729BE">
        <w:rPr>
          <w:b/>
        </w:rPr>
        <w:t>or more</w:t>
      </w:r>
      <w:r>
        <w:t xml:space="preserve"> of the following:</w:t>
      </w:r>
    </w:p>
    <w:p w:rsidR="00B729BE" w:rsidRDefault="00B729BE" w:rsidP="00B729BE">
      <w:pPr>
        <w:pStyle w:val="ListParagraph"/>
        <w:numPr>
          <w:ilvl w:val="4"/>
          <w:numId w:val="1"/>
        </w:numPr>
      </w:pPr>
      <w:r>
        <w:t>Fever</w:t>
      </w:r>
      <w:r w:rsidR="00235711">
        <w:t xml:space="preserve"> or positive blood culture</w:t>
      </w:r>
    </w:p>
    <w:p w:rsidR="00B729BE" w:rsidRDefault="00B729BE" w:rsidP="00B729BE">
      <w:pPr>
        <w:pStyle w:val="ListParagraph"/>
        <w:numPr>
          <w:ilvl w:val="4"/>
          <w:numId w:val="1"/>
        </w:numPr>
      </w:pPr>
      <w:r>
        <w:lastRenderedPageBreak/>
        <w:t>Elevated erythrocyte sedimentation rate</w:t>
      </w:r>
    </w:p>
    <w:p w:rsidR="00B729BE" w:rsidRDefault="00B729BE" w:rsidP="00B729BE">
      <w:pPr>
        <w:pStyle w:val="ListParagraph"/>
        <w:numPr>
          <w:ilvl w:val="4"/>
          <w:numId w:val="1"/>
        </w:numPr>
      </w:pPr>
      <w:r>
        <w:t>Recent history of spinal surgery</w:t>
      </w:r>
    </w:p>
    <w:p w:rsidR="00B729BE" w:rsidRDefault="00B729BE" w:rsidP="00B729BE">
      <w:pPr>
        <w:pStyle w:val="ListParagraph"/>
        <w:numPr>
          <w:ilvl w:val="4"/>
          <w:numId w:val="1"/>
        </w:numPr>
      </w:pPr>
      <w:r>
        <w:t>Immunosuppression</w:t>
      </w:r>
    </w:p>
    <w:p w:rsidR="00B729BE" w:rsidRDefault="00B729BE" w:rsidP="00B729BE">
      <w:pPr>
        <w:pStyle w:val="ListParagraph"/>
        <w:numPr>
          <w:ilvl w:val="4"/>
          <w:numId w:val="1"/>
        </w:numPr>
      </w:pPr>
      <w:r>
        <w:t>History of intravenous drug abuse, other source of infection, or recent invasive procedure</w:t>
      </w:r>
    </w:p>
    <w:p w:rsidR="00B729BE" w:rsidRDefault="00B729BE" w:rsidP="00B729BE">
      <w:pPr>
        <w:pStyle w:val="ListParagraph"/>
        <w:numPr>
          <w:ilvl w:val="4"/>
          <w:numId w:val="1"/>
        </w:numPr>
      </w:pPr>
      <w:r>
        <w:t>Positive bone scan</w:t>
      </w:r>
      <w:r w:rsidR="00235711">
        <w:t xml:space="preserve"> or suggestive x=ray</w:t>
      </w:r>
    </w:p>
    <w:p w:rsidR="00B729BE" w:rsidRDefault="00B729BE" w:rsidP="00B729BE">
      <w:pPr>
        <w:pStyle w:val="ListParagraph"/>
        <w:numPr>
          <w:ilvl w:val="4"/>
          <w:numId w:val="1"/>
        </w:numPr>
      </w:pPr>
      <w:r>
        <w:t>Concurrent or suspected diagnosis of tuberculosis</w:t>
      </w:r>
    </w:p>
    <w:p w:rsidR="00B729BE" w:rsidRDefault="00B729BE" w:rsidP="00B729BE">
      <w:pPr>
        <w:pStyle w:val="ListParagraph"/>
        <w:numPr>
          <w:ilvl w:val="2"/>
          <w:numId w:val="1"/>
        </w:numPr>
      </w:pPr>
      <w:r>
        <w:t xml:space="preserve">Clinical suspicion of inflammatory or demyelinating process (e.g., clinically isolated syndrome, multiple sclerosis, other demyelinating disease), as indicated by 1 </w:t>
      </w:r>
      <w:r w:rsidRPr="00B729BE">
        <w:rPr>
          <w:b/>
        </w:rPr>
        <w:t>or more</w:t>
      </w:r>
      <w:r>
        <w:t xml:space="preserve"> of the following:</w:t>
      </w:r>
    </w:p>
    <w:p w:rsidR="00B729BE" w:rsidRDefault="00B729BE" w:rsidP="00B729BE">
      <w:pPr>
        <w:pStyle w:val="ListParagraph"/>
        <w:numPr>
          <w:ilvl w:val="3"/>
          <w:numId w:val="1"/>
        </w:numPr>
      </w:pPr>
      <w:r>
        <w:t>Findings of suspected transverse myelitis (idiopathic or in conjunction with multiple sclerosis) in thoracic spinal cord</w:t>
      </w:r>
    </w:p>
    <w:p w:rsidR="00B729BE" w:rsidRDefault="00235711" w:rsidP="00B729BE">
      <w:pPr>
        <w:pStyle w:val="ListParagraph"/>
        <w:numPr>
          <w:ilvl w:val="3"/>
          <w:numId w:val="1"/>
        </w:numPr>
      </w:pPr>
      <w:r>
        <w:t>Known or s</w:t>
      </w:r>
      <w:r w:rsidR="00B729BE">
        <w:t xml:space="preserve">uspected multiple sclerosis and 1 </w:t>
      </w:r>
      <w:r w:rsidR="00B729BE" w:rsidRPr="00B729BE">
        <w:rPr>
          <w:b/>
        </w:rPr>
        <w:t>or more</w:t>
      </w:r>
      <w:r w:rsidR="00B729BE">
        <w:t xml:space="preserve"> of the following:</w:t>
      </w:r>
    </w:p>
    <w:p w:rsidR="00B729BE" w:rsidRDefault="00B729BE" w:rsidP="00B729BE">
      <w:pPr>
        <w:pStyle w:val="ListParagraph"/>
        <w:numPr>
          <w:ilvl w:val="4"/>
          <w:numId w:val="1"/>
        </w:numPr>
      </w:pPr>
      <w:r>
        <w:t>Signs or symptoms of myelopathy</w:t>
      </w:r>
    </w:p>
    <w:p w:rsidR="00B729BE" w:rsidRDefault="00B729BE" w:rsidP="00B729BE">
      <w:pPr>
        <w:pStyle w:val="ListParagraph"/>
        <w:numPr>
          <w:ilvl w:val="4"/>
          <w:numId w:val="1"/>
        </w:numPr>
      </w:pPr>
      <w:r>
        <w:t>Ascending numbness or tingling (e.g., from foot to trunk)</w:t>
      </w:r>
    </w:p>
    <w:p w:rsidR="00B729BE" w:rsidRDefault="00B729BE" w:rsidP="00B729BE">
      <w:pPr>
        <w:pStyle w:val="ListParagraph"/>
        <w:numPr>
          <w:ilvl w:val="4"/>
          <w:numId w:val="1"/>
        </w:numPr>
      </w:pPr>
      <w:r>
        <w:t>Brown-Sequard syndrome</w:t>
      </w:r>
    </w:p>
    <w:p w:rsidR="00B729BE" w:rsidRDefault="00B729BE" w:rsidP="00B729BE">
      <w:pPr>
        <w:pStyle w:val="ListParagraph"/>
        <w:numPr>
          <w:ilvl w:val="4"/>
          <w:numId w:val="1"/>
        </w:numPr>
      </w:pPr>
      <w:r>
        <w:t>Brain MRI nondiagnostic for multiple sclerosis</w:t>
      </w:r>
    </w:p>
    <w:p w:rsidR="00B729BE" w:rsidRDefault="00B729BE" w:rsidP="00B729BE">
      <w:pPr>
        <w:pStyle w:val="ListParagraph"/>
        <w:numPr>
          <w:ilvl w:val="4"/>
          <w:numId w:val="1"/>
        </w:numPr>
      </w:pPr>
      <w:r>
        <w:t>Rheumatic diseases with demyelination mimicking multiple sclerosis (e.g., Sjogren syndrome, systemic lupus erythematosus, and antiphospholipid syndrome) have not been ruled out.</w:t>
      </w:r>
    </w:p>
    <w:p w:rsidR="00B729BE" w:rsidRDefault="00B729BE" w:rsidP="00B729BE">
      <w:pPr>
        <w:pStyle w:val="ListParagraph"/>
        <w:numPr>
          <w:ilvl w:val="2"/>
          <w:numId w:val="1"/>
        </w:numPr>
      </w:pPr>
      <w:r>
        <w:t xml:space="preserve">Findings of suspected tethered cord, as indicated by 1 </w:t>
      </w:r>
      <w:r w:rsidRPr="00B729BE">
        <w:rPr>
          <w:b/>
        </w:rPr>
        <w:t>or more</w:t>
      </w:r>
      <w:r>
        <w:t xml:space="preserve"> of the following:</w:t>
      </w:r>
    </w:p>
    <w:p w:rsidR="00B729BE" w:rsidRDefault="00B729BE" w:rsidP="00B729BE">
      <w:pPr>
        <w:pStyle w:val="ListParagraph"/>
        <w:numPr>
          <w:ilvl w:val="3"/>
          <w:numId w:val="1"/>
        </w:numPr>
      </w:pPr>
      <w:r>
        <w:t>Cutaneous manifestations of occult spina bifida (e.g., nevus, lipomas, tufts of hair, hemangiomas, dimple overlying spine)</w:t>
      </w:r>
    </w:p>
    <w:p w:rsidR="00B729BE" w:rsidRDefault="00B729BE" w:rsidP="00B729BE">
      <w:pPr>
        <w:pStyle w:val="ListParagraph"/>
        <w:numPr>
          <w:ilvl w:val="3"/>
          <w:numId w:val="1"/>
        </w:numPr>
      </w:pPr>
      <w:r>
        <w:t>Urinary dribbling or lack of bladder control</w:t>
      </w:r>
    </w:p>
    <w:p w:rsidR="00B729BE" w:rsidRDefault="00B729BE" w:rsidP="00B729BE">
      <w:pPr>
        <w:pStyle w:val="ListParagraph"/>
        <w:numPr>
          <w:ilvl w:val="3"/>
          <w:numId w:val="1"/>
        </w:numPr>
      </w:pPr>
      <w:r>
        <w:t>Abnormal urodynamic tests</w:t>
      </w:r>
    </w:p>
    <w:p w:rsidR="00B729BE" w:rsidRDefault="00B729BE" w:rsidP="00B729BE">
      <w:pPr>
        <w:pStyle w:val="ListParagraph"/>
        <w:numPr>
          <w:ilvl w:val="3"/>
          <w:numId w:val="1"/>
        </w:numPr>
      </w:pPr>
      <w:r>
        <w:t>Gait abnormality or difficulty</w:t>
      </w:r>
    </w:p>
    <w:p w:rsidR="00B729BE" w:rsidRDefault="00B729BE" w:rsidP="00B729BE">
      <w:pPr>
        <w:pStyle w:val="ListParagraph"/>
        <w:numPr>
          <w:ilvl w:val="2"/>
          <w:numId w:val="1"/>
        </w:numPr>
      </w:pPr>
      <w:r>
        <w:t xml:space="preserve">Spinal curvature or scoliosis, as indicated by 1 </w:t>
      </w:r>
      <w:r w:rsidRPr="00B729BE">
        <w:rPr>
          <w:b/>
        </w:rPr>
        <w:t>or more</w:t>
      </w:r>
      <w:r>
        <w:t xml:space="preserve"> of the following:</w:t>
      </w:r>
    </w:p>
    <w:p w:rsidR="00B729BE" w:rsidRDefault="00B729BE" w:rsidP="00B729BE">
      <w:pPr>
        <w:pStyle w:val="ListParagraph"/>
        <w:numPr>
          <w:ilvl w:val="3"/>
          <w:numId w:val="1"/>
        </w:numPr>
      </w:pPr>
      <w:r>
        <w:t>Abnormal neurologic findings on clinical examination</w:t>
      </w:r>
    </w:p>
    <w:p w:rsidR="00B729BE" w:rsidRDefault="00B729BE" w:rsidP="00B729BE">
      <w:pPr>
        <w:pStyle w:val="ListParagraph"/>
        <w:numPr>
          <w:ilvl w:val="3"/>
          <w:numId w:val="1"/>
        </w:numPr>
      </w:pPr>
      <w:r>
        <w:t xml:space="preserve">Surgical planning for idiopathic scoliosis with risk factors for neural axis malformation, as indicated by 1 </w:t>
      </w:r>
      <w:r w:rsidRPr="00B729BE">
        <w:rPr>
          <w:b/>
        </w:rPr>
        <w:t>or more</w:t>
      </w:r>
      <w:r>
        <w:t xml:space="preserve"> of the following:</w:t>
      </w:r>
    </w:p>
    <w:p w:rsidR="002E77E1" w:rsidRDefault="002E77E1" w:rsidP="002E77E1">
      <w:pPr>
        <w:pStyle w:val="ListParagraph"/>
        <w:numPr>
          <w:ilvl w:val="4"/>
          <w:numId w:val="1"/>
        </w:numPr>
      </w:pPr>
      <w:r>
        <w:t>Age at first visit 10 years or younger</w:t>
      </w:r>
    </w:p>
    <w:p w:rsidR="002E77E1" w:rsidRDefault="002E77E1" w:rsidP="002E77E1">
      <w:pPr>
        <w:pStyle w:val="ListParagraph"/>
        <w:numPr>
          <w:ilvl w:val="4"/>
          <w:numId w:val="1"/>
        </w:numPr>
      </w:pPr>
      <w:r>
        <w:t>Male gender</w:t>
      </w:r>
    </w:p>
    <w:p w:rsidR="002E77E1" w:rsidRDefault="002E77E1" w:rsidP="002E77E1">
      <w:pPr>
        <w:pStyle w:val="ListParagraph"/>
        <w:numPr>
          <w:ilvl w:val="4"/>
          <w:numId w:val="1"/>
        </w:numPr>
      </w:pPr>
      <w:r>
        <w:t>Thoracic kyphosis 30 degrees or greater</w:t>
      </w:r>
    </w:p>
    <w:p w:rsidR="002E77E1" w:rsidRDefault="002E77E1" w:rsidP="002E77E1">
      <w:pPr>
        <w:pStyle w:val="ListParagraph"/>
        <w:numPr>
          <w:ilvl w:val="4"/>
          <w:numId w:val="1"/>
        </w:numPr>
      </w:pPr>
      <w:r>
        <w:t>Kyphosis at curve apex</w:t>
      </w:r>
    </w:p>
    <w:p w:rsidR="002E77E1" w:rsidRDefault="002E77E1" w:rsidP="002E77E1">
      <w:pPr>
        <w:pStyle w:val="ListParagraph"/>
        <w:numPr>
          <w:ilvl w:val="4"/>
          <w:numId w:val="1"/>
        </w:numPr>
      </w:pPr>
      <w:r>
        <w:t>Left-sided thoracic curvature</w:t>
      </w:r>
    </w:p>
    <w:p w:rsidR="002E77E1" w:rsidRDefault="002E77E1" w:rsidP="002E77E1">
      <w:pPr>
        <w:pStyle w:val="ListParagraph"/>
        <w:numPr>
          <w:ilvl w:val="4"/>
          <w:numId w:val="1"/>
        </w:numPr>
      </w:pPr>
      <w:r>
        <w:t>Short segment curve (i.e., less than 6 vertebral segments)</w:t>
      </w:r>
    </w:p>
    <w:p w:rsidR="002E77E1" w:rsidRDefault="002E77E1" w:rsidP="002E77E1">
      <w:pPr>
        <w:pStyle w:val="ListParagraph"/>
        <w:numPr>
          <w:ilvl w:val="4"/>
          <w:numId w:val="1"/>
        </w:numPr>
      </w:pPr>
      <w:r>
        <w:t>Moderate to severe pain</w:t>
      </w:r>
    </w:p>
    <w:p w:rsidR="002E77E1" w:rsidRDefault="002E77E1" w:rsidP="002E77E1">
      <w:pPr>
        <w:pStyle w:val="ListParagraph"/>
        <w:numPr>
          <w:ilvl w:val="3"/>
          <w:numId w:val="1"/>
        </w:numPr>
      </w:pPr>
      <w:r>
        <w:t>Infantile or early juvenile onset before age 5 years</w:t>
      </w:r>
    </w:p>
    <w:p w:rsidR="002E77E1" w:rsidRDefault="002E77E1" w:rsidP="002E77E1">
      <w:pPr>
        <w:pStyle w:val="ListParagraph"/>
        <w:numPr>
          <w:ilvl w:val="3"/>
          <w:numId w:val="1"/>
        </w:numPr>
      </w:pPr>
      <w:r>
        <w:t>Neurofibromatosis</w:t>
      </w:r>
    </w:p>
    <w:p w:rsidR="002E77E1" w:rsidRDefault="002E77E1" w:rsidP="002E77E1">
      <w:pPr>
        <w:pStyle w:val="ListParagraph"/>
        <w:numPr>
          <w:ilvl w:val="3"/>
          <w:numId w:val="1"/>
        </w:numPr>
      </w:pPr>
      <w:r>
        <w:t>Congenital scoliosis</w:t>
      </w:r>
    </w:p>
    <w:p w:rsidR="002E77E1" w:rsidRDefault="002E77E1" w:rsidP="002E77E1">
      <w:pPr>
        <w:pStyle w:val="ListParagraph"/>
        <w:numPr>
          <w:ilvl w:val="2"/>
          <w:numId w:val="1"/>
        </w:numPr>
      </w:pPr>
      <w:r>
        <w:t xml:space="preserve">Reassessment of suspected postoperative spinal complications, as indicated by 1 </w:t>
      </w:r>
      <w:r w:rsidRPr="002E77E1">
        <w:rPr>
          <w:b/>
        </w:rPr>
        <w:t>or more</w:t>
      </w:r>
      <w:r>
        <w:t xml:space="preserve"> of the following:</w:t>
      </w:r>
    </w:p>
    <w:p w:rsidR="002E77E1" w:rsidRDefault="002E77E1" w:rsidP="002E77E1">
      <w:pPr>
        <w:pStyle w:val="ListParagraph"/>
        <w:numPr>
          <w:ilvl w:val="3"/>
          <w:numId w:val="1"/>
        </w:numPr>
      </w:pPr>
      <w:r>
        <w:lastRenderedPageBreak/>
        <w:t>Postoperative hemorrhage or hematoma</w:t>
      </w:r>
    </w:p>
    <w:p w:rsidR="002E77E1" w:rsidRDefault="002E77E1" w:rsidP="002E77E1">
      <w:pPr>
        <w:pStyle w:val="ListParagraph"/>
        <w:numPr>
          <w:ilvl w:val="3"/>
          <w:numId w:val="1"/>
        </w:numPr>
      </w:pPr>
      <w:r>
        <w:t>Spondylodiscitis</w:t>
      </w:r>
    </w:p>
    <w:p w:rsidR="002E77E1" w:rsidRDefault="002E77E1" w:rsidP="002E77E1">
      <w:pPr>
        <w:pStyle w:val="ListParagraph"/>
        <w:numPr>
          <w:ilvl w:val="3"/>
          <w:numId w:val="1"/>
        </w:numPr>
      </w:pPr>
      <w:r>
        <w:t>Pseudomeningocele</w:t>
      </w:r>
    </w:p>
    <w:p w:rsidR="002E77E1" w:rsidRDefault="002E77E1" w:rsidP="002E77E1">
      <w:pPr>
        <w:pStyle w:val="ListParagraph"/>
        <w:numPr>
          <w:ilvl w:val="3"/>
          <w:numId w:val="1"/>
        </w:numPr>
      </w:pPr>
      <w:r>
        <w:t>Sterile arachnoiditis</w:t>
      </w:r>
    </w:p>
    <w:p w:rsidR="00235711" w:rsidRDefault="00235711" w:rsidP="002E77E1">
      <w:pPr>
        <w:pStyle w:val="ListParagraph"/>
        <w:numPr>
          <w:ilvl w:val="3"/>
          <w:numId w:val="1"/>
        </w:numPr>
      </w:pPr>
      <w:r>
        <w:t>Significant new pain syndrome or neurologic findings</w:t>
      </w:r>
    </w:p>
    <w:p w:rsidR="002E77E1" w:rsidRDefault="002E77E1" w:rsidP="002E77E1">
      <w:pPr>
        <w:pStyle w:val="ListParagraph"/>
        <w:numPr>
          <w:ilvl w:val="2"/>
          <w:numId w:val="1"/>
        </w:numPr>
      </w:pPr>
      <w:r>
        <w:t xml:space="preserve">Clinical suspicion of spinal dysraphism, as indicated by 1 </w:t>
      </w:r>
      <w:r w:rsidRPr="002E77E1">
        <w:rPr>
          <w:b/>
        </w:rPr>
        <w:t>or more</w:t>
      </w:r>
      <w:r>
        <w:t xml:space="preserve"> of the following:</w:t>
      </w:r>
    </w:p>
    <w:p w:rsidR="00F42D3D" w:rsidRDefault="00F42D3D" w:rsidP="00F42D3D">
      <w:pPr>
        <w:pStyle w:val="ListParagraph"/>
        <w:numPr>
          <w:ilvl w:val="3"/>
          <w:numId w:val="1"/>
        </w:numPr>
      </w:pPr>
      <w:r>
        <w:t>For infants:  decreased spontaneous leg movement, absent reflexes, leg atrophy, foot asymmetry, decreased urinary stream</w:t>
      </w:r>
    </w:p>
    <w:p w:rsidR="00F42D3D" w:rsidRDefault="00F42D3D" w:rsidP="00F42D3D">
      <w:pPr>
        <w:pStyle w:val="ListParagraph"/>
        <w:numPr>
          <w:ilvl w:val="3"/>
          <w:numId w:val="1"/>
        </w:numPr>
      </w:pPr>
      <w:r>
        <w:t>For toddlers:  developmental delay in walking, abnormal gait</w:t>
      </w:r>
    </w:p>
    <w:p w:rsidR="00F42D3D" w:rsidRDefault="00F42D3D" w:rsidP="00F42D3D">
      <w:pPr>
        <w:pStyle w:val="ListParagraph"/>
        <w:numPr>
          <w:ilvl w:val="3"/>
          <w:numId w:val="1"/>
        </w:numPr>
      </w:pPr>
      <w:r>
        <w:t xml:space="preserve">For older children: spasticity, </w:t>
      </w:r>
      <w:r w:rsidR="00CD0483">
        <w:t>h</w:t>
      </w:r>
      <w:r>
        <w:t>yperreflexia, bowel or bladder disturbance, including incontinence</w:t>
      </w:r>
    </w:p>
    <w:p w:rsidR="00F42D3D" w:rsidRDefault="00F42D3D" w:rsidP="00F42D3D">
      <w:pPr>
        <w:pStyle w:val="ListParagraph"/>
        <w:numPr>
          <w:ilvl w:val="2"/>
          <w:numId w:val="1"/>
        </w:numPr>
      </w:pPr>
      <w:r>
        <w:t xml:space="preserve">Other suspected congenital spinal conditions, as indicated by 1 </w:t>
      </w:r>
      <w:r w:rsidRPr="00A31E78">
        <w:rPr>
          <w:b/>
        </w:rPr>
        <w:t>or more</w:t>
      </w:r>
      <w:r>
        <w:t xml:space="preserve"> of the following:</w:t>
      </w:r>
    </w:p>
    <w:p w:rsidR="00F42D3D" w:rsidRDefault="00F42D3D" w:rsidP="00F42D3D">
      <w:pPr>
        <w:pStyle w:val="ListParagraph"/>
        <w:numPr>
          <w:ilvl w:val="3"/>
          <w:numId w:val="1"/>
        </w:numPr>
      </w:pPr>
      <w:r>
        <w:t>Myelomeningocele</w:t>
      </w:r>
    </w:p>
    <w:p w:rsidR="00F42D3D" w:rsidRDefault="00F42D3D" w:rsidP="00F42D3D">
      <w:pPr>
        <w:pStyle w:val="ListParagraph"/>
        <w:numPr>
          <w:ilvl w:val="3"/>
          <w:numId w:val="1"/>
        </w:numPr>
      </w:pPr>
      <w:r>
        <w:t>Myelocele</w:t>
      </w:r>
    </w:p>
    <w:p w:rsidR="00F42D3D" w:rsidRDefault="00F42D3D" w:rsidP="00F42D3D">
      <w:pPr>
        <w:pStyle w:val="ListParagraph"/>
        <w:numPr>
          <w:ilvl w:val="3"/>
          <w:numId w:val="1"/>
        </w:numPr>
      </w:pPr>
      <w:r>
        <w:t>Diastematomyelia (i.e., split cord malformation)</w:t>
      </w:r>
    </w:p>
    <w:p w:rsidR="00F42D3D" w:rsidRDefault="00F42D3D" w:rsidP="00F42D3D">
      <w:pPr>
        <w:pStyle w:val="ListParagraph"/>
        <w:numPr>
          <w:ilvl w:val="3"/>
          <w:numId w:val="1"/>
        </w:numPr>
      </w:pPr>
      <w:r>
        <w:t>Dorsal dermal sinus</w:t>
      </w:r>
    </w:p>
    <w:p w:rsidR="00F42D3D" w:rsidRDefault="00F42D3D" w:rsidP="00F42D3D">
      <w:pPr>
        <w:pStyle w:val="ListParagraph"/>
        <w:numPr>
          <w:ilvl w:val="3"/>
          <w:numId w:val="1"/>
        </w:numPr>
      </w:pPr>
      <w:r>
        <w:t>Intradural lipoma</w:t>
      </w:r>
    </w:p>
    <w:p w:rsidR="00F42D3D" w:rsidRDefault="00F42D3D" w:rsidP="00F42D3D">
      <w:pPr>
        <w:pStyle w:val="ListParagraph"/>
        <w:numPr>
          <w:ilvl w:val="3"/>
          <w:numId w:val="1"/>
        </w:numPr>
      </w:pPr>
      <w:r>
        <w:t>Hydromyelia</w:t>
      </w:r>
    </w:p>
    <w:p w:rsidR="00F42D3D" w:rsidRDefault="00F42D3D" w:rsidP="00F42D3D">
      <w:pPr>
        <w:pStyle w:val="ListParagraph"/>
        <w:numPr>
          <w:ilvl w:val="3"/>
          <w:numId w:val="1"/>
        </w:numPr>
      </w:pPr>
      <w:r>
        <w:t>Split notochord syndrome</w:t>
      </w:r>
    </w:p>
    <w:p w:rsidR="00235711" w:rsidRDefault="00235711" w:rsidP="00F42D3D">
      <w:pPr>
        <w:pStyle w:val="ListParagraph"/>
        <w:numPr>
          <w:ilvl w:val="3"/>
          <w:numId w:val="1"/>
        </w:numPr>
      </w:pPr>
      <w:proofErr w:type="spellStart"/>
      <w:r>
        <w:t>Syringomyelia</w:t>
      </w:r>
      <w:proofErr w:type="spellEnd"/>
    </w:p>
    <w:p w:rsidR="00235711" w:rsidRDefault="00235711" w:rsidP="00F42D3D">
      <w:pPr>
        <w:pStyle w:val="ListParagraph"/>
        <w:numPr>
          <w:ilvl w:val="3"/>
          <w:numId w:val="1"/>
        </w:numPr>
      </w:pPr>
      <w:r>
        <w:t>Spinal stenosis</w:t>
      </w:r>
    </w:p>
    <w:p w:rsidR="00235711" w:rsidRDefault="00235711" w:rsidP="00235711">
      <w:pPr>
        <w:pStyle w:val="ListParagraph"/>
        <w:numPr>
          <w:ilvl w:val="2"/>
          <w:numId w:val="1"/>
        </w:numPr>
      </w:pPr>
      <w:r>
        <w:t>Pain localized to thoracic back unresponsive to 6 weeks of nonoperative treatment including analgesics and NSAID’s, exercise, modification of activity and physical therapy.</w:t>
      </w:r>
    </w:p>
    <w:p w:rsidR="0039624D" w:rsidRPr="005479AF" w:rsidRDefault="0039624D" w:rsidP="00F10BCB">
      <w:pPr>
        <w:ind w:left="720"/>
        <w:rPr>
          <w:b/>
        </w:rPr>
      </w:pPr>
    </w:p>
    <w:p w:rsidR="00F10BCB" w:rsidRDefault="00F10BCB" w:rsidP="00F10BCB">
      <w:pPr>
        <w:pStyle w:val="ListParagraph"/>
        <w:numPr>
          <w:ilvl w:val="0"/>
          <w:numId w:val="1"/>
        </w:numPr>
        <w:rPr>
          <w:b/>
        </w:rPr>
      </w:pPr>
      <w:r w:rsidRPr="005479AF">
        <w:rPr>
          <w:b/>
        </w:rPr>
        <w:t>Discussion</w:t>
      </w:r>
    </w:p>
    <w:p w:rsidR="00A31E78" w:rsidRPr="00A31E78" w:rsidRDefault="00A31E78" w:rsidP="00A31E78">
      <w:pPr>
        <w:rPr>
          <w:b/>
        </w:rPr>
      </w:pPr>
    </w:p>
    <w:p w:rsidR="002D396E" w:rsidRDefault="002D396E" w:rsidP="00791926">
      <w:pPr>
        <w:ind w:left="720"/>
      </w:pPr>
      <w:r>
        <w:t>Thoracic s</w:t>
      </w:r>
      <w:r w:rsidR="007F47A0">
        <w:t xml:space="preserve">pine </w:t>
      </w:r>
      <w:r w:rsidR="007B7422">
        <w:t>MRI is indicated for evidence of thoracic spinal cord compression, trauma, neoplasm or infection.</w:t>
      </w:r>
    </w:p>
    <w:p w:rsidR="007B7422" w:rsidRDefault="007B7422" w:rsidP="00791926">
      <w:pPr>
        <w:ind w:left="720"/>
      </w:pPr>
    </w:p>
    <w:p w:rsidR="007B7422" w:rsidRDefault="007B7422" w:rsidP="00791926">
      <w:pPr>
        <w:ind w:left="720"/>
      </w:pPr>
      <w:r>
        <w:t>For suspicion of metastatic disease to the spine in patients with known primary malignancy, whole-spine MRI is considered first-line imaging because multiple sites of spinal cord compression are seen in up to 1/3 of patients with metastatic epidural spinal cord compression.  MRI is useful for staging neoplastic meningitis for palliative radiotherapy.</w:t>
      </w:r>
    </w:p>
    <w:p w:rsidR="007B7422" w:rsidRDefault="007B7422" w:rsidP="00791926">
      <w:pPr>
        <w:ind w:left="720"/>
      </w:pPr>
    </w:p>
    <w:p w:rsidR="007B7422" w:rsidRDefault="007B7422" w:rsidP="00791926">
      <w:pPr>
        <w:ind w:left="720"/>
      </w:pPr>
      <w:r>
        <w:t xml:space="preserve">Thoracic MRI is a first-line option for suspected thoracic spinal infection and inflammation, including spondylitis, epidural abscess, osteomyelitis, and spinal tuberculosis.  </w:t>
      </w:r>
    </w:p>
    <w:p w:rsidR="007B7422" w:rsidRDefault="007B7422" w:rsidP="00791926">
      <w:pPr>
        <w:ind w:left="720"/>
      </w:pPr>
    </w:p>
    <w:p w:rsidR="007B7422" w:rsidRDefault="007B7422" w:rsidP="00791926">
      <w:pPr>
        <w:ind w:left="720"/>
      </w:pPr>
      <w:r>
        <w:t xml:space="preserve">For clinical suspicion of a demyelinating disease such as multiple sclerosis in patients presenting with a clinically isolated syndrome, most commonly manifested as unilateral optic neuritis, brainstem syndrome, or partial myelitis, diagnostic criteria have been </w:t>
      </w:r>
      <w:r>
        <w:lastRenderedPageBreak/>
        <w:t xml:space="preserve">developed based on the demonstration of CNS lesions disseminated in space and disseminated in time on MRI imaging of the brain and, if appropriate, on spinal cord imaging.  Spinal cord </w:t>
      </w:r>
      <w:r w:rsidR="00A31E78">
        <w:t>involvement is common with multiple sclerosis, and lesions may be present solely in the spinal cord in up to 25% of patients, with lesions in the cervical spine occurring more commonly than in the thoracic spine.  An expert consensus panel recommends spinal cord imaging for patients with suspected demyelinating disease who present with signs or symptoms of spinal cord involvement or if the number of lesions on brain MR</w:t>
      </w:r>
      <w:r w:rsidR="00235711">
        <w:t>I</w:t>
      </w:r>
      <w:r w:rsidR="00A31E78">
        <w:t xml:space="preserve"> is insufficient to meet established criteria for multiple sclerosis.</w:t>
      </w:r>
    </w:p>
    <w:p w:rsidR="00A31E78" w:rsidRDefault="00A31E78" w:rsidP="00791926">
      <w:pPr>
        <w:ind w:left="720"/>
      </w:pPr>
    </w:p>
    <w:p w:rsidR="00A31E78" w:rsidRDefault="00A31E78" w:rsidP="00791926">
      <w:pPr>
        <w:ind w:left="720"/>
      </w:pPr>
      <w:r>
        <w:t>For scoliosis, a review concluded that MRI is not routinely indicated for pain in the absence of abnormal neurologic examination findings or an atypical curve, such as a left-sided curve (levoscoliosis), a short segment or kyphosis near the curve apex.  In a prospective study of 250 scoliosis patients undergoing surgery, factors predicting neural axis deformity associated with scoliosis included age at first visit less than 11 years, left-sided thoracic curvature, thoracic kyphosis greater than 30 degrees, neurologic deficit (highest association with sustained clonus or asymmetric loss of superficial abdominal reflex), and presence of moderate or severe back pain.</w:t>
      </w:r>
    </w:p>
    <w:p w:rsidR="007B7422" w:rsidRDefault="007B7422" w:rsidP="00791926">
      <w:pPr>
        <w:ind w:left="720"/>
      </w:pPr>
    </w:p>
    <w:p w:rsidR="004F62B9" w:rsidRDefault="004F62B9" w:rsidP="0039624D">
      <w:pPr>
        <w:ind w:left="720"/>
      </w:pPr>
    </w:p>
    <w:p w:rsidR="00F10BCB" w:rsidRPr="00235711" w:rsidRDefault="00F10BCB" w:rsidP="00235711">
      <w:pPr>
        <w:rPr>
          <w:b/>
          <w:u w:val="single"/>
        </w:rPr>
      </w:pPr>
      <w:r w:rsidRPr="00235711">
        <w:rPr>
          <w:b/>
          <w:u w:val="single"/>
        </w:rPr>
        <w:t>Reference</w:t>
      </w:r>
    </w:p>
    <w:p w:rsidR="00A31E78" w:rsidRPr="00A31E78" w:rsidRDefault="00A31E78" w:rsidP="00A31E78">
      <w:pPr>
        <w:rPr>
          <w:b/>
        </w:rPr>
      </w:pPr>
    </w:p>
    <w:p w:rsidR="005479AF" w:rsidRDefault="005479AF" w:rsidP="00235711">
      <w:pPr>
        <w:spacing w:after="160"/>
      </w:pPr>
      <w:r>
        <w:t xml:space="preserve">Milliman Care Guidelines, “Ambulatory Care”, </w:t>
      </w:r>
      <w:r w:rsidR="00235711">
        <w:t>“Thoracic Spine MRI”, 23</w:t>
      </w:r>
      <w:r w:rsidR="00235711" w:rsidRPr="00235711">
        <w:rPr>
          <w:vertAlign w:val="superscript"/>
        </w:rPr>
        <w:t>rd</w:t>
      </w:r>
      <w:r w:rsidR="00235711">
        <w:t xml:space="preserve"> Edition, 2/26/2019.</w:t>
      </w:r>
    </w:p>
    <w:p w:rsidR="005479AF" w:rsidRPr="005479AF" w:rsidRDefault="005479AF" w:rsidP="005479AF">
      <w:pPr>
        <w:rPr>
          <w:b/>
        </w:rPr>
      </w:pPr>
    </w:p>
    <w:sectPr w:rsidR="005479AF" w:rsidRPr="005479AF" w:rsidSect="00281E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22" w:rsidRDefault="007B7422" w:rsidP="00636F80">
      <w:r>
        <w:separator/>
      </w:r>
    </w:p>
  </w:endnote>
  <w:endnote w:type="continuationSeparator" w:id="0">
    <w:p w:rsidR="007B7422" w:rsidRDefault="007B7422" w:rsidP="0063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22" w:rsidRDefault="007B7422" w:rsidP="00636F80">
      <w:r>
        <w:separator/>
      </w:r>
    </w:p>
  </w:footnote>
  <w:footnote w:type="continuationSeparator" w:id="0">
    <w:p w:rsidR="007B7422" w:rsidRDefault="007B7422" w:rsidP="00636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422" w:rsidRDefault="007B7422" w:rsidP="00636F80">
    <w:pPr>
      <w:rPr>
        <w:b/>
        <w:sz w:val="28"/>
        <w:u w:val="single"/>
      </w:rPr>
    </w:pPr>
  </w:p>
  <w:p w:rsidR="007B7422" w:rsidRDefault="007B7422">
    <w:pPr>
      <w:pStyle w:val="Header"/>
    </w:pPr>
  </w:p>
  <w:p w:rsidR="00A31E78" w:rsidRDefault="00A31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86CB4"/>
    <w:multiLevelType w:val="hybridMultilevel"/>
    <w:tmpl w:val="1E8A00E0"/>
    <w:lvl w:ilvl="0" w:tplc="5B0EC3C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048E"/>
    <w:rsid w:val="00000894"/>
    <w:rsid w:val="00000B5C"/>
    <w:rsid w:val="00001CA7"/>
    <w:rsid w:val="000023BD"/>
    <w:rsid w:val="000023F5"/>
    <w:rsid w:val="000034C4"/>
    <w:rsid w:val="0000360D"/>
    <w:rsid w:val="00003A3B"/>
    <w:rsid w:val="00003A84"/>
    <w:rsid w:val="000058F4"/>
    <w:rsid w:val="00005C47"/>
    <w:rsid w:val="00005EB4"/>
    <w:rsid w:val="00005F4D"/>
    <w:rsid w:val="00010341"/>
    <w:rsid w:val="00011676"/>
    <w:rsid w:val="000117DC"/>
    <w:rsid w:val="000118C3"/>
    <w:rsid w:val="00012197"/>
    <w:rsid w:val="00012BA7"/>
    <w:rsid w:val="00012EE4"/>
    <w:rsid w:val="000135E6"/>
    <w:rsid w:val="000138B7"/>
    <w:rsid w:val="000142A1"/>
    <w:rsid w:val="0001522B"/>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2F5"/>
    <w:rsid w:val="00027F6E"/>
    <w:rsid w:val="00030133"/>
    <w:rsid w:val="000318F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04E"/>
    <w:rsid w:val="000503E8"/>
    <w:rsid w:val="00050865"/>
    <w:rsid w:val="000538C7"/>
    <w:rsid w:val="00053909"/>
    <w:rsid w:val="00053D98"/>
    <w:rsid w:val="00054335"/>
    <w:rsid w:val="000543B9"/>
    <w:rsid w:val="00055D4F"/>
    <w:rsid w:val="00056DDB"/>
    <w:rsid w:val="0005750F"/>
    <w:rsid w:val="00057B74"/>
    <w:rsid w:val="00057C85"/>
    <w:rsid w:val="00057F5D"/>
    <w:rsid w:val="00060516"/>
    <w:rsid w:val="00060882"/>
    <w:rsid w:val="00060A21"/>
    <w:rsid w:val="00060A5B"/>
    <w:rsid w:val="00060EAF"/>
    <w:rsid w:val="000623FE"/>
    <w:rsid w:val="000626C7"/>
    <w:rsid w:val="000627A9"/>
    <w:rsid w:val="00062D49"/>
    <w:rsid w:val="00063A91"/>
    <w:rsid w:val="00063B73"/>
    <w:rsid w:val="00063CD1"/>
    <w:rsid w:val="00063E07"/>
    <w:rsid w:val="000649BD"/>
    <w:rsid w:val="00064B85"/>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5AFB"/>
    <w:rsid w:val="000868BE"/>
    <w:rsid w:val="000868F5"/>
    <w:rsid w:val="00086A2D"/>
    <w:rsid w:val="000879EA"/>
    <w:rsid w:val="00087CF0"/>
    <w:rsid w:val="00090295"/>
    <w:rsid w:val="000912DC"/>
    <w:rsid w:val="0009191C"/>
    <w:rsid w:val="00091ECD"/>
    <w:rsid w:val="000926E7"/>
    <w:rsid w:val="00093040"/>
    <w:rsid w:val="000930F8"/>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1B47"/>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4E87"/>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A46"/>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5A8A"/>
    <w:rsid w:val="000F63F7"/>
    <w:rsid w:val="000F7DB9"/>
    <w:rsid w:val="00100809"/>
    <w:rsid w:val="001009E1"/>
    <w:rsid w:val="00100B53"/>
    <w:rsid w:val="00100E93"/>
    <w:rsid w:val="00101225"/>
    <w:rsid w:val="0010126C"/>
    <w:rsid w:val="00102519"/>
    <w:rsid w:val="00102BAE"/>
    <w:rsid w:val="00102DDC"/>
    <w:rsid w:val="001032D8"/>
    <w:rsid w:val="0010352D"/>
    <w:rsid w:val="0010365C"/>
    <w:rsid w:val="00103A94"/>
    <w:rsid w:val="00103DFF"/>
    <w:rsid w:val="0010485A"/>
    <w:rsid w:val="00104FB2"/>
    <w:rsid w:val="00105124"/>
    <w:rsid w:val="00105F34"/>
    <w:rsid w:val="00106137"/>
    <w:rsid w:val="001065B9"/>
    <w:rsid w:val="00106AD7"/>
    <w:rsid w:val="00107516"/>
    <w:rsid w:val="0011081C"/>
    <w:rsid w:val="0011109E"/>
    <w:rsid w:val="0011161C"/>
    <w:rsid w:val="00112CB3"/>
    <w:rsid w:val="001141C8"/>
    <w:rsid w:val="00114660"/>
    <w:rsid w:val="00114795"/>
    <w:rsid w:val="00114FB9"/>
    <w:rsid w:val="00115AF2"/>
    <w:rsid w:val="00115C3A"/>
    <w:rsid w:val="00116C87"/>
    <w:rsid w:val="00117747"/>
    <w:rsid w:val="00117C53"/>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AF6"/>
    <w:rsid w:val="00126FF9"/>
    <w:rsid w:val="001273EC"/>
    <w:rsid w:val="00127A9A"/>
    <w:rsid w:val="00127CA3"/>
    <w:rsid w:val="00130032"/>
    <w:rsid w:val="00131271"/>
    <w:rsid w:val="001318C6"/>
    <w:rsid w:val="00131F0F"/>
    <w:rsid w:val="00132E99"/>
    <w:rsid w:val="00133E6D"/>
    <w:rsid w:val="001358B5"/>
    <w:rsid w:val="001365C8"/>
    <w:rsid w:val="00136ED2"/>
    <w:rsid w:val="001371B5"/>
    <w:rsid w:val="0013779E"/>
    <w:rsid w:val="00137C0E"/>
    <w:rsid w:val="00137CCF"/>
    <w:rsid w:val="001404CE"/>
    <w:rsid w:val="00141191"/>
    <w:rsid w:val="0014178E"/>
    <w:rsid w:val="00141D67"/>
    <w:rsid w:val="001423E2"/>
    <w:rsid w:val="00142A23"/>
    <w:rsid w:val="00142C2D"/>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6E38"/>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42F6"/>
    <w:rsid w:val="001754BD"/>
    <w:rsid w:val="001756B9"/>
    <w:rsid w:val="00175A2B"/>
    <w:rsid w:val="00175DA3"/>
    <w:rsid w:val="001760FC"/>
    <w:rsid w:val="001765CB"/>
    <w:rsid w:val="00177CE7"/>
    <w:rsid w:val="00180FFA"/>
    <w:rsid w:val="0018125B"/>
    <w:rsid w:val="00182210"/>
    <w:rsid w:val="00182A5F"/>
    <w:rsid w:val="00182EA6"/>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C09"/>
    <w:rsid w:val="001A21EB"/>
    <w:rsid w:val="001A3276"/>
    <w:rsid w:val="001A3674"/>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1090"/>
    <w:rsid w:val="001C2CA6"/>
    <w:rsid w:val="001C3235"/>
    <w:rsid w:val="001C3916"/>
    <w:rsid w:val="001C444D"/>
    <w:rsid w:val="001C45AB"/>
    <w:rsid w:val="001C4712"/>
    <w:rsid w:val="001C537B"/>
    <w:rsid w:val="001C5507"/>
    <w:rsid w:val="001C5B7D"/>
    <w:rsid w:val="001C5EED"/>
    <w:rsid w:val="001C67E6"/>
    <w:rsid w:val="001C7B30"/>
    <w:rsid w:val="001D0671"/>
    <w:rsid w:val="001D0705"/>
    <w:rsid w:val="001D0F1D"/>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0132"/>
    <w:rsid w:val="00220747"/>
    <w:rsid w:val="00222013"/>
    <w:rsid w:val="002220A8"/>
    <w:rsid w:val="002222D4"/>
    <w:rsid w:val="00222E2A"/>
    <w:rsid w:val="0022376E"/>
    <w:rsid w:val="002259D4"/>
    <w:rsid w:val="00225A95"/>
    <w:rsid w:val="00225E40"/>
    <w:rsid w:val="002262DD"/>
    <w:rsid w:val="00226D36"/>
    <w:rsid w:val="00226FEA"/>
    <w:rsid w:val="00227154"/>
    <w:rsid w:val="0022739D"/>
    <w:rsid w:val="002274ED"/>
    <w:rsid w:val="00227B85"/>
    <w:rsid w:val="00227BD2"/>
    <w:rsid w:val="002304EE"/>
    <w:rsid w:val="00230D14"/>
    <w:rsid w:val="002316CA"/>
    <w:rsid w:val="00231E90"/>
    <w:rsid w:val="002339CD"/>
    <w:rsid w:val="002349EE"/>
    <w:rsid w:val="00234E7B"/>
    <w:rsid w:val="00235711"/>
    <w:rsid w:val="00235A66"/>
    <w:rsid w:val="00235ACD"/>
    <w:rsid w:val="00237031"/>
    <w:rsid w:val="00237319"/>
    <w:rsid w:val="0023798C"/>
    <w:rsid w:val="00240637"/>
    <w:rsid w:val="00240998"/>
    <w:rsid w:val="00240C97"/>
    <w:rsid w:val="00240D16"/>
    <w:rsid w:val="00241935"/>
    <w:rsid w:val="00242B6F"/>
    <w:rsid w:val="00243764"/>
    <w:rsid w:val="00243EB3"/>
    <w:rsid w:val="0024481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6048E"/>
    <w:rsid w:val="00260D1C"/>
    <w:rsid w:val="002618A1"/>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0AD4"/>
    <w:rsid w:val="00271F12"/>
    <w:rsid w:val="00272399"/>
    <w:rsid w:val="00272B67"/>
    <w:rsid w:val="0027358C"/>
    <w:rsid w:val="0027460B"/>
    <w:rsid w:val="0027492C"/>
    <w:rsid w:val="00274B92"/>
    <w:rsid w:val="00275323"/>
    <w:rsid w:val="00275984"/>
    <w:rsid w:val="00276921"/>
    <w:rsid w:val="002770D7"/>
    <w:rsid w:val="0027728B"/>
    <w:rsid w:val="00281EF0"/>
    <w:rsid w:val="00282016"/>
    <w:rsid w:val="002826A2"/>
    <w:rsid w:val="00282C3E"/>
    <w:rsid w:val="0028439F"/>
    <w:rsid w:val="002845AA"/>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861"/>
    <w:rsid w:val="00291AF2"/>
    <w:rsid w:val="002920AB"/>
    <w:rsid w:val="00292205"/>
    <w:rsid w:val="00292222"/>
    <w:rsid w:val="00292B1B"/>
    <w:rsid w:val="002938B8"/>
    <w:rsid w:val="00294B3E"/>
    <w:rsid w:val="00294B83"/>
    <w:rsid w:val="0029553F"/>
    <w:rsid w:val="00295C67"/>
    <w:rsid w:val="00296075"/>
    <w:rsid w:val="0029610B"/>
    <w:rsid w:val="00296584"/>
    <w:rsid w:val="002A0A7D"/>
    <w:rsid w:val="002A0C1E"/>
    <w:rsid w:val="002A0DDC"/>
    <w:rsid w:val="002A0E1E"/>
    <w:rsid w:val="002A16CF"/>
    <w:rsid w:val="002A1997"/>
    <w:rsid w:val="002A199D"/>
    <w:rsid w:val="002A2030"/>
    <w:rsid w:val="002A2609"/>
    <w:rsid w:val="002A363E"/>
    <w:rsid w:val="002A3C71"/>
    <w:rsid w:val="002A45F9"/>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96E"/>
    <w:rsid w:val="002D3A1E"/>
    <w:rsid w:val="002D47FA"/>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2C0"/>
    <w:rsid w:val="002E65A6"/>
    <w:rsid w:val="002E6785"/>
    <w:rsid w:val="002E7460"/>
    <w:rsid w:val="002E77E1"/>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EE4"/>
    <w:rsid w:val="0030708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0DC0"/>
    <w:rsid w:val="0033112D"/>
    <w:rsid w:val="00331F4B"/>
    <w:rsid w:val="003324E5"/>
    <w:rsid w:val="003329DC"/>
    <w:rsid w:val="00333020"/>
    <w:rsid w:val="003359AF"/>
    <w:rsid w:val="00337283"/>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ECD"/>
    <w:rsid w:val="00363114"/>
    <w:rsid w:val="003646FE"/>
    <w:rsid w:val="00365091"/>
    <w:rsid w:val="003651E3"/>
    <w:rsid w:val="00365594"/>
    <w:rsid w:val="003658FC"/>
    <w:rsid w:val="00365CE8"/>
    <w:rsid w:val="00366E96"/>
    <w:rsid w:val="00367351"/>
    <w:rsid w:val="00367B94"/>
    <w:rsid w:val="00370194"/>
    <w:rsid w:val="00370A7B"/>
    <w:rsid w:val="00370FB3"/>
    <w:rsid w:val="0037134B"/>
    <w:rsid w:val="00372226"/>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24D"/>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9E5"/>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3F6E29"/>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2297"/>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181"/>
    <w:rsid w:val="004234E1"/>
    <w:rsid w:val="0042355F"/>
    <w:rsid w:val="00423983"/>
    <w:rsid w:val="00423D1F"/>
    <w:rsid w:val="004244B1"/>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357F"/>
    <w:rsid w:val="0044401D"/>
    <w:rsid w:val="004458B2"/>
    <w:rsid w:val="00446665"/>
    <w:rsid w:val="004467F0"/>
    <w:rsid w:val="00446B40"/>
    <w:rsid w:val="00446FC8"/>
    <w:rsid w:val="00447058"/>
    <w:rsid w:val="00447422"/>
    <w:rsid w:val="00447A1C"/>
    <w:rsid w:val="004504F0"/>
    <w:rsid w:val="00451528"/>
    <w:rsid w:val="004517CD"/>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1A5"/>
    <w:rsid w:val="004766BB"/>
    <w:rsid w:val="00476E29"/>
    <w:rsid w:val="0047799A"/>
    <w:rsid w:val="004801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621"/>
    <w:rsid w:val="004948DE"/>
    <w:rsid w:val="0049541A"/>
    <w:rsid w:val="00495834"/>
    <w:rsid w:val="004958F1"/>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1FAC"/>
    <w:rsid w:val="004B2403"/>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C7A87"/>
    <w:rsid w:val="004D0CC4"/>
    <w:rsid w:val="004D1327"/>
    <w:rsid w:val="004D152F"/>
    <w:rsid w:val="004D1EEA"/>
    <w:rsid w:val="004D2026"/>
    <w:rsid w:val="004D24AD"/>
    <w:rsid w:val="004D29B6"/>
    <w:rsid w:val="004D32CA"/>
    <w:rsid w:val="004D34D7"/>
    <w:rsid w:val="004D3DDA"/>
    <w:rsid w:val="004D3EFB"/>
    <w:rsid w:val="004D3F11"/>
    <w:rsid w:val="004D4126"/>
    <w:rsid w:val="004D4135"/>
    <w:rsid w:val="004D4757"/>
    <w:rsid w:val="004D4937"/>
    <w:rsid w:val="004D50D6"/>
    <w:rsid w:val="004D69A0"/>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729"/>
    <w:rsid w:val="004E6F31"/>
    <w:rsid w:val="004F0026"/>
    <w:rsid w:val="004F0756"/>
    <w:rsid w:val="004F19BD"/>
    <w:rsid w:val="004F3593"/>
    <w:rsid w:val="004F3D20"/>
    <w:rsid w:val="004F41AE"/>
    <w:rsid w:val="004F62B9"/>
    <w:rsid w:val="004F6D5C"/>
    <w:rsid w:val="004F7E50"/>
    <w:rsid w:val="004F7EEC"/>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39CE"/>
    <w:rsid w:val="005148D8"/>
    <w:rsid w:val="00515775"/>
    <w:rsid w:val="00516A86"/>
    <w:rsid w:val="00516E84"/>
    <w:rsid w:val="0051712C"/>
    <w:rsid w:val="0051724B"/>
    <w:rsid w:val="0051748A"/>
    <w:rsid w:val="0051784D"/>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3750D"/>
    <w:rsid w:val="00541B5E"/>
    <w:rsid w:val="00541BCD"/>
    <w:rsid w:val="005421B2"/>
    <w:rsid w:val="005422CA"/>
    <w:rsid w:val="0054302A"/>
    <w:rsid w:val="0054328B"/>
    <w:rsid w:val="00543602"/>
    <w:rsid w:val="00544D42"/>
    <w:rsid w:val="0054513F"/>
    <w:rsid w:val="0054670F"/>
    <w:rsid w:val="00546C37"/>
    <w:rsid w:val="00546E51"/>
    <w:rsid w:val="005479AF"/>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5DB"/>
    <w:rsid w:val="00565DFF"/>
    <w:rsid w:val="00565FE1"/>
    <w:rsid w:val="005673ED"/>
    <w:rsid w:val="0056781F"/>
    <w:rsid w:val="00567F47"/>
    <w:rsid w:val="00571C3B"/>
    <w:rsid w:val="00571D56"/>
    <w:rsid w:val="00572197"/>
    <w:rsid w:val="0057413C"/>
    <w:rsid w:val="00575063"/>
    <w:rsid w:val="0057522B"/>
    <w:rsid w:val="005754D1"/>
    <w:rsid w:val="00576295"/>
    <w:rsid w:val="00576B75"/>
    <w:rsid w:val="00577060"/>
    <w:rsid w:val="00577759"/>
    <w:rsid w:val="005802D0"/>
    <w:rsid w:val="00580549"/>
    <w:rsid w:val="005811D7"/>
    <w:rsid w:val="00581A9C"/>
    <w:rsid w:val="00581CBB"/>
    <w:rsid w:val="00582A78"/>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6AD"/>
    <w:rsid w:val="00592956"/>
    <w:rsid w:val="005934F1"/>
    <w:rsid w:val="0059369A"/>
    <w:rsid w:val="00594511"/>
    <w:rsid w:val="005953C4"/>
    <w:rsid w:val="00595445"/>
    <w:rsid w:val="00595AD7"/>
    <w:rsid w:val="005964D8"/>
    <w:rsid w:val="005964EC"/>
    <w:rsid w:val="00596B18"/>
    <w:rsid w:val="00596FEF"/>
    <w:rsid w:val="0059705F"/>
    <w:rsid w:val="0059760C"/>
    <w:rsid w:val="005977D9"/>
    <w:rsid w:val="005A015F"/>
    <w:rsid w:val="005A0266"/>
    <w:rsid w:val="005A11BD"/>
    <w:rsid w:val="005A1BC4"/>
    <w:rsid w:val="005A21B2"/>
    <w:rsid w:val="005A26A9"/>
    <w:rsid w:val="005A2CC4"/>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D777E"/>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7A9"/>
    <w:rsid w:val="005F18D5"/>
    <w:rsid w:val="005F1C97"/>
    <w:rsid w:val="005F22B8"/>
    <w:rsid w:val="005F25B2"/>
    <w:rsid w:val="005F3197"/>
    <w:rsid w:val="005F31C6"/>
    <w:rsid w:val="005F3C3E"/>
    <w:rsid w:val="005F43F7"/>
    <w:rsid w:val="005F4516"/>
    <w:rsid w:val="005F481D"/>
    <w:rsid w:val="005F4D62"/>
    <w:rsid w:val="005F4DF2"/>
    <w:rsid w:val="005F765A"/>
    <w:rsid w:val="005F7692"/>
    <w:rsid w:val="0060234C"/>
    <w:rsid w:val="006028C3"/>
    <w:rsid w:val="00603239"/>
    <w:rsid w:val="0060406D"/>
    <w:rsid w:val="00604676"/>
    <w:rsid w:val="00604947"/>
    <w:rsid w:val="0060651B"/>
    <w:rsid w:val="00607808"/>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32A"/>
    <w:rsid w:val="0062268D"/>
    <w:rsid w:val="00622B22"/>
    <w:rsid w:val="0062327F"/>
    <w:rsid w:val="00623702"/>
    <w:rsid w:val="006243E9"/>
    <w:rsid w:val="00624689"/>
    <w:rsid w:val="00624696"/>
    <w:rsid w:val="006249A9"/>
    <w:rsid w:val="0062523B"/>
    <w:rsid w:val="006263DF"/>
    <w:rsid w:val="00626FEB"/>
    <w:rsid w:val="00627B0C"/>
    <w:rsid w:val="00627E5F"/>
    <w:rsid w:val="00630F2B"/>
    <w:rsid w:val="006310B6"/>
    <w:rsid w:val="006313FD"/>
    <w:rsid w:val="0063150D"/>
    <w:rsid w:val="00631B1E"/>
    <w:rsid w:val="00632641"/>
    <w:rsid w:val="00632EA8"/>
    <w:rsid w:val="006333CC"/>
    <w:rsid w:val="006339AF"/>
    <w:rsid w:val="006339DB"/>
    <w:rsid w:val="00633BB8"/>
    <w:rsid w:val="00633FAC"/>
    <w:rsid w:val="006344CD"/>
    <w:rsid w:val="00634512"/>
    <w:rsid w:val="00636F80"/>
    <w:rsid w:val="006370E7"/>
    <w:rsid w:val="0063724F"/>
    <w:rsid w:val="006373CE"/>
    <w:rsid w:val="006374AA"/>
    <w:rsid w:val="00637506"/>
    <w:rsid w:val="00637629"/>
    <w:rsid w:val="0063772D"/>
    <w:rsid w:val="00637FF0"/>
    <w:rsid w:val="0064053A"/>
    <w:rsid w:val="00640733"/>
    <w:rsid w:val="00640F77"/>
    <w:rsid w:val="006410B4"/>
    <w:rsid w:val="0064405B"/>
    <w:rsid w:val="00644A49"/>
    <w:rsid w:val="00644DB7"/>
    <w:rsid w:val="00645AC3"/>
    <w:rsid w:val="006461FA"/>
    <w:rsid w:val="00646495"/>
    <w:rsid w:val="00646A5A"/>
    <w:rsid w:val="00650855"/>
    <w:rsid w:val="00650A79"/>
    <w:rsid w:val="006517C1"/>
    <w:rsid w:val="00651AFB"/>
    <w:rsid w:val="00652DF0"/>
    <w:rsid w:val="00653289"/>
    <w:rsid w:val="006533A8"/>
    <w:rsid w:val="006533E3"/>
    <w:rsid w:val="00653CDC"/>
    <w:rsid w:val="00654191"/>
    <w:rsid w:val="00654530"/>
    <w:rsid w:val="00655D9A"/>
    <w:rsid w:val="006568B1"/>
    <w:rsid w:val="00657427"/>
    <w:rsid w:val="00657E15"/>
    <w:rsid w:val="00660111"/>
    <w:rsid w:val="006619FE"/>
    <w:rsid w:val="00661FEF"/>
    <w:rsid w:val="00662B47"/>
    <w:rsid w:val="00662B5C"/>
    <w:rsid w:val="006639B4"/>
    <w:rsid w:val="00663D40"/>
    <w:rsid w:val="006641A4"/>
    <w:rsid w:val="0066501A"/>
    <w:rsid w:val="0066608B"/>
    <w:rsid w:val="00667CAA"/>
    <w:rsid w:val="0067226D"/>
    <w:rsid w:val="006725C5"/>
    <w:rsid w:val="00672AC8"/>
    <w:rsid w:val="0067317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C77DF"/>
    <w:rsid w:val="006D0851"/>
    <w:rsid w:val="006D0BDF"/>
    <w:rsid w:val="006D0E46"/>
    <w:rsid w:val="006D3E05"/>
    <w:rsid w:val="006D4347"/>
    <w:rsid w:val="006D47D6"/>
    <w:rsid w:val="006D4C86"/>
    <w:rsid w:val="006D5213"/>
    <w:rsid w:val="006D5E1B"/>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DFA"/>
    <w:rsid w:val="006F5F69"/>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061F7"/>
    <w:rsid w:val="00710064"/>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7B0"/>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CB6"/>
    <w:rsid w:val="00760EAE"/>
    <w:rsid w:val="0076129B"/>
    <w:rsid w:val="00761DDC"/>
    <w:rsid w:val="00761EC5"/>
    <w:rsid w:val="007622FC"/>
    <w:rsid w:val="00762787"/>
    <w:rsid w:val="00762874"/>
    <w:rsid w:val="00763EBE"/>
    <w:rsid w:val="00764FED"/>
    <w:rsid w:val="007659F3"/>
    <w:rsid w:val="007667EA"/>
    <w:rsid w:val="00766EDA"/>
    <w:rsid w:val="00767C5F"/>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6029"/>
    <w:rsid w:val="007865E0"/>
    <w:rsid w:val="00790954"/>
    <w:rsid w:val="007910FB"/>
    <w:rsid w:val="007914E2"/>
    <w:rsid w:val="00791926"/>
    <w:rsid w:val="00791966"/>
    <w:rsid w:val="00791BF5"/>
    <w:rsid w:val="0079268A"/>
    <w:rsid w:val="00792E33"/>
    <w:rsid w:val="00792F8A"/>
    <w:rsid w:val="00793E5A"/>
    <w:rsid w:val="00794288"/>
    <w:rsid w:val="007944BD"/>
    <w:rsid w:val="0079559F"/>
    <w:rsid w:val="00795914"/>
    <w:rsid w:val="0079698D"/>
    <w:rsid w:val="007972CE"/>
    <w:rsid w:val="007A03A5"/>
    <w:rsid w:val="007A048E"/>
    <w:rsid w:val="007A0523"/>
    <w:rsid w:val="007A0B7A"/>
    <w:rsid w:val="007A1752"/>
    <w:rsid w:val="007A1876"/>
    <w:rsid w:val="007A1AF8"/>
    <w:rsid w:val="007A1C8C"/>
    <w:rsid w:val="007A232B"/>
    <w:rsid w:val="007A330C"/>
    <w:rsid w:val="007A4093"/>
    <w:rsid w:val="007A582B"/>
    <w:rsid w:val="007A5930"/>
    <w:rsid w:val="007A5B14"/>
    <w:rsid w:val="007A640C"/>
    <w:rsid w:val="007A68DA"/>
    <w:rsid w:val="007B09DF"/>
    <w:rsid w:val="007B0E3A"/>
    <w:rsid w:val="007B1371"/>
    <w:rsid w:val="007B17F6"/>
    <w:rsid w:val="007B1908"/>
    <w:rsid w:val="007B1BC9"/>
    <w:rsid w:val="007B297D"/>
    <w:rsid w:val="007B29D0"/>
    <w:rsid w:val="007B3892"/>
    <w:rsid w:val="007B3BD1"/>
    <w:rsid w:val="007B5552"/>
    <w:rsid w:val="007B6EE8"/>
    <w:rsid w:val="007B7422"/>
    <w:rsid w:val="007B7862"/>
    <w:rsid w:val="007C081A"/>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5864"/>
    <w:rsid w:val="007D7C73"/>
    <w:rsid w:val="007E0348"/>
    <w:rsid w:val="007E0464"/>
    <w:rsid w:val="007E0B50"/>
    <w:rsid w:val="007E1084"/>
    <w:rsid w:val="007E1F21"/>
    <w:rsid w:val="007E2834"/>
    <w:rsid w:val="007E29D4"/>
    <w:rsid w:val="007E2A54"/>
    <w:rsid w:val="007E3BE9"/>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7A0"/>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B41"/>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061"/>
    <w:rsid w:val="00896711"/>
    <w:rsid w:val="008A0201"/>
    <w:rsid w:val="008A0478"/>
    <w:rsid w:val="008A09EE"/>
    <w:rsid w:val="008A1976"/>
    <w:rsid w:val="008A2029"/>
    <w:rsid w:val="008A2853"/>
    <w:rsid w:val="008A3438"/>
    <w:rsid w:val="008A3E58"/>
    <w:rsid w:val="008A441A"/>
    <w:rsid w:val="008A48AD"/>
    <w:rsid w:val="008A4AC3"/>
    <w:rsid w:val="008A591C"/>
    <w:rsid w:val="008A5F3F"/>
    <w:rsid w:val="008A6032"/>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E2D"/>
    <w:rsid w:val="008B6F50"/>
    <w:rsid w:val="008B7221"/>
    <w:rsid w:val="008B7DE0"/>
    <w:rsid w:val="008C035C"/>
    <w:rsid w:val="008C2BA9"/>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707"/>
    <w:rsid w:val="008D5788"/>
    <w:rsid w:val="008D70D5"/>
    <w:rsid w:val="008E04F8"/>
    <w:rsid w:val="008E2909"/>
    <w:rsid w:val="008E5092"/>
    <w:rsid w:val="008E5156"/>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109"/>
    <w:rsid w:val="008F7465"/>
    <w:rsid w:val="009000BE"/>
    <w:rsid w:val="00900935"/>
    <w:rsid w:val="00900B34"/>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331"/>
    <w:rsid w:val="00915AFD"/>
    <w:rsid w:val="00915B4B"/>
    <w:rsid w:val="00915DDA"/>
    <w:rsid w:val="00915DE3"/>
    <w:rsid w:val="00915E75"/>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431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9A2"/>
    <w:rsid w:val="00971D26"/>
    <w:rsid w:val="00973510"/>
    <w:rsid w:val="009741CF"/>
    <w:rsid w:val="00974565"/>
    <w:rsid w:val="009754EF"/>
    <w:rsid w:val="009755E9"/>
    <w:rsid w:val="00976568"/>
    <w:rsid w:val="00976664"/>
    <w:rsid w:val="009766CD"/>
    <w:rsid w:val="00976CB8"/>
    <w:rsid w:val="00976DF0"/>
    <w:rsid w:val="00976F9C"/>
    <w:rsid w:val="009777AE"/>
    <w:rsid w:val="00977B5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A19"/>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22D3"/>
    <w:rsid w:val="009E38C1"/>
    <w:rsid w:val="009E3BF5"/>
    <w:rsid w:val="009E487F"/>
    <w:rsid w:val="009E511A"/>
    <w:rsid w:val="009E5943"/>
    <w:rsid w:val="009E5961"/>
    <w:rsid w:val="009E5D8C"/>
    <w:rsid w:val="009E62C7"/>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579"/>
    <w:rsid w:val="00A03E2A"/>
    <w:rsid w:val="00A04197"/>
    <w:rsid w:val="00A0485F"/>
    <w:rsid w:val="00A04882"/>
    <w:rsid w:val="00A04908"/>
    <w:rsid w:val="00A04FFE"/>
    <w:rsid w:val="00A07868"/>
    <w:rsid w:val="00A07AAE"/>
    <w:rsid w:val="00A07CE4"/>
    <w:rsid w:val="00A102C0"/>
    <w:rsid w:val="00A105B2"/>
    <w:rsid w:val="00A1074C"/>
    <w:rsid w:val="00A10B80"/>
    <w:rsid w:val="00A1199B"/>
    <w:rsid w:val="00A11C55"/>
    <w:rsid w:val="00A127C7"/>
    <w:rsid w:val="00A12E90"/>
    <w:rsid w:val="00A1331A"/>
    <w:rsid w:val="00A13D0D"/>
    <w:rsid w:val="00A14E9B"/>
    <w:rsid w:val="00A14F82"/>
    <w:rsid w:val="00A15B04"/>
    <w:rsid w:val="00A15D90"/>
    <w:rsid w:val="00A16EC2"/>
    <w:rsid w:val="00A207D9"/>
    <w:rsid w:val="00A20E46"/>
    <w:rsid w:val="00A21757"/>
    <w:rsid w:val="00A21B19"/>
    <w:rsid w:val="00A22C4D"/>
    <w:rsid w:val="00A23801"/>
    <w:rsid w:val="00A2392E"/>
    <w:rsid w:val="00A23AB8"/>
    <w:rsid w:val="00A24EFD"/>
    <w:rsid w:val="00A259AF"/>
    <w:rsid w:val="00A26858"/>
    <w:rsid w:val="00A26DCC"/>
    <w:rsid w:val="00A30201"/>
    <w:rsid w:val="00A30257"/>
    <w:rsid w:val="00A30361"/>
    <w:rsid w:val="00A31E78"/>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209"/>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0BE"/>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3ABB"/>
    <w:rsid w:val="00AF48C0"/>
    <w:rsid w:val="00AF4D78"/>
    <w:rsid w:val="00AF4F56"/>
    <w:rsid w:val="00AF578C"/>
    <w:rsid w:val="00AF5C8C"/>
    <w:rsid w:val="00AF60EA"/>
    <w:rsid w:val="00AF67E1"/>
    <w:rsid w:val="00AF6D17"/>
    <w:rsid w:val="00B00032"/>
    <w:rsid w:val="00B0062B"/>
    <w:rsid w:val="00B00C0D"/>
    <w:rsid w:val="00B00DE7"/>
    <w:rsid w:val="00B00F3F"/>
    <w:rsid w:val="00B01464"/>
    <w:rsid w:val="00B01F7E"/>
    <w:rsid w:val="00B025CC"/>
    <w:rsid w:val="00B02E95"/>
    <w:rsid w:val="00B033B8"/>
    <w:rsid w:val="00B042ED"/>
    <w:rsid w:val="00B0484F"/>
    <w:rsid w:val="00B0509F"/>
    <w:rsid w:val="00B05493"/>
    <w:rsid w:val="00B05D47"/>
    <w:rsid w:val="00B05F84"/>
    <w:rsid w:val="00B0638D"/>
    <w:rsid w:val="00B06AC3"/>
    <w:rsid w:val="00B07ACA"/>
    <w:rsid w:val="00B07BA2"/>
    <w:rsid w:val="00B11282"/>
    <w:rsid w:val="00B12282"/>
    <w:rsid w:val="00B128CE"/>
    <w:rsid w:val="00B1298D"/>
    <w:rsid w:val="00B13224"/>
    <w:rsid w:val="00B13B03"/>
    <w:rsid w:val="00B14EFF"/>
    <w:rsid w:val="00B154C8"/>
    <w:rsid w:val="00B169CC"/>
    <w:rsid w:val="00B1729D"/>
    <w:rsid w:val="00B220FD"/>
    <w:rsid w:val="00B22254"/>
    <w:rsid w:val="00B22B4F"/>
    <w:rsid w:val="00B22F64"/>
    <w:rsid w:val="00B231FA"/>
    <w:rsid w:val="00B23239"/>
    <w:rsid w:val="00B23352"/>
    <w:rsid w:val="00B23393"/>
    <w:rsid w:val="00B23B17"/>
    <w:rsid w:val="00B24236"/>
    <w:rsid w:val="00B25146"/>
    <w:rsid w:val="00B25173"/>
    <w:rsid w:val="00B25652"/>
    <w:rsid w:val="00B25E33"/>
    <w:rsid w:val="00B25ED8"/>
    <w:rsid w:val="00B30A87"/>
    <w:rsid w:val="00B313BD"/>
    <w:rsid w:val="00B315AF"/>
    <w:rsid w:val="00B3184F"/>
    <w:rsid w:val="00B325FF"/>
    <w:rsid w:val="00B32BD3"/>
    <w:rsid w:val="00B32FED"/>
    <w:rsid w:val="00B33327"/>
    <w:rsid w:val="00B335D1"/>
    <w:rsid w:val="00B35713"/>
    <w:rsid w:val="00B3616C"/>
    <w:rsid w:val="00B363AD"/>
    <w:rsid w:val="00B36642"/>
    <w:rsid w:val="00B36666"/>
    <w:rsid w:val="00B36983"/>
    <w:rsid w:val="00B36EF4"/>
    <w:rsid w:val="00B378AA"/>
    <w:rsid w:val="00B40C8E"/>
    <w:rsid w:val="00B41829"/>
    <w:rsid w:val="00B419CD"/>
    <w:rsid w:val="00B42029"/>
    <w:rsid w:val="00B42A2A"/>
    <w:rsid w:val="00B4416D"/>
    <w:rsid w:val="00B44558"/>
    <w:rsid w:val="00B446BE"/>
    <w:rsid w:val="00B44C49"/>
    <w:rsid w:val="00B44CA3"/>
    <w:rsid w:val="00B45319"/>
    <w:rsid w:val="00B453A6"/>
    <w:rsid w:val="00B45C71"/>
    <w:rsid w:val="00B4666F"/>
    <w:rsid w:val="00B473EF"/>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21DA"/>
    <w:rsid w:val="00B6275C"/>
    <w:rsid w:val="00B63197"/>
    <w:rsid w:val="00B63820"/>
    <w:rsid w:val="00B63BB8"/>
    <w:rsid w:val="00B63EAD"/>
    <w:rsid w:val="00B652D0"/>
    <w:rsid w:val="00B65C5C"/>
    <w:rsid w:val="00B672A8"/>
    <w:rsid w:val="00B6736F"/>
    <w:rsid w:val="00B677EB"/>
    <w:rsid w:val="00B67F89"/>
    <w:rsid w:val="00B704FF"/>
    <w:rsid w:val="00B70553"/>
    <w:rsid w:val="00B709D6"/>
    <w:rsid w:val="00B7138B"/>
    <w:rsid w:val="00B723EF"/>
    <w:rsid w:val="00B726DF"/>
    <w:rsid w:val="00B729BE"/>
    <w:rsid w:val="00B72BDB"/>
    <w:rsid w:val="00B72EF9"/>
    <w:rsid w:val="00B73577"/>
    <w:rsid w:val="00B73785"/>
    <w:rsid w:val="00B73AC1"/>
    <w:rsid w:val="00B7489F"/>
    <w:rsid w:val="00B75C1E"/>
    <w:rsid w:val="00B75E5C"/>
    <w:rsid w:val="00B77A80"/>
    <w:rsid w:val="00B804BA"/>
    <w:rsid w:val="00B806F9"/>
    <w:rsid w:val="00B80811"/>
    <w:rsid w:val="00B814B7"/>
    <w:rsid w:val="00B81C05"/>
    <w:rsid w:val="00B82167"/>
    <w:rsid w:val="00B82FFB"/>
    <w:rsid w:val="00B83312"/>
    <w:rsid w:val="00B83810"/>
    <w:rsid w:val="00B83884"/>
    <w:rsid w:val="00B83B0B"/>
    <w:rsid w:val="00B83BCD"/>
    <w:rsid w:val="00B83DE4"/>
    <w:rsid w:val="00B83E83"/>
    <w:rsid w:val="00B8479A"/>
    <w:rsid w:val="00B85769"/>
    <w:rsid w:val="00B860F1"/>
    <w:rsid w:val="00B86814"/>
    <w:rsid w:val="00B86B78"/>
    <w:rsid w:val="00B8761E"/>
    <w:rsid w:val="00B87FC2"/>
    <w:rsid w:val="00B9018F"/>
    <w:rsid w:val="00B90ECD"/>
    <w:rsid w:val="00B91F36"/>
    <w:rsid w:val="00B926E7"/>
    <w:rsid w:val="00B92E0D"/>
    <w:rsid w:val="00B93B80"/>
    <w:rsid w:val="00B94196"/>
    <w:rsid w:val="00B94238"/>
    <w:rsid w:val="00B9429C"/>
    <w:rsid w:val="00B942DE"/>
    <w:rsid w:val="00B961AF"/>
    <w:rsid w:val="00B9647E"/>
    <w:rsid w:val="00B96DAF"/>
    <w:rsid w:val="00B97043"/>
    <w:rsid w:val="00BA0CD4"/>
    <w:rsid w:val="00BA167B"/>
    <w:rsid w:val="00BA19F2"/>
    <w:rsid w:val="00BA1C84"/>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67"/>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586"/>
    <w:rsid w:val="00BE084B"/>
    <w:rsid w:val="00BE0BE0"/>
    <w:rsid w:val="00BE0DEB"/>
    <w:rsid w:val="00BE15AD"/>
    <w:rsid w:val="00BE1D29"/>
    <w:rsid w:val="00BE26E8"/>
    <w:rsid w:val="00BE35EB"/>
    <w:rsid w:val="00BE3ED2"/>
    <w:rsid w:val="00BE3F86"/>
    <w:rsid w:val="00BE42F1"/>
    <w:rsid w:val="00BE456A"/>
    <w:rsid w:val="00BE54EA"/>
    <w:rsid w:val="00BE599A"/>
    <w:rsid w:val="00BE5AFD"/>
    <w:rsid w:val="00BE5E8C"/>
    <w:rsid w:val="00BE653D"/>
    <w:rsid w:val="00BE71C8"/>
    <w:rsid w:val="00BF065A"/>
    <w:rsid w:val="00BF10D8"/>
    <w:rsid w:val="00BF1A43"/>
    <w:rsid w:val="00BF2112"/>
    <w:rsid w:val="00BF28D4"/>
    <w:rsid w:val="00BF2D75"/>
    <w:rsid w:val="00BF3642"/>
    <w:rsid w:val="00BF3AED"/>
    <w:rsid w:val="00BF4169"/>
    <w:rsid w:val="00BF42AB"/>
    <w:rsid w:val="00BF45FC"/>
    <w:rsid w:val="00BF465F"/>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5CA0"/>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6CF"/>
    <w:rsid w:val="00C26904"/>
    <w:rsid w:val="00C26CDA"/>
    <w:rsid w:val="00C276FC"/>
    <w:rsid w:val="00C30CE4"/>
    <w:rsid w:val="00C32298"/>
    <w:rsid w:val="00C32995"/>
    <w:rsid w:val="00C32AB8"/>
    <w:rsid w:val="00C32B5F"/>
    <w:rsid w:val="00C32DFE"/>
    <w:rsid w:val="00C32F5D"/>
    <w:rsid w:val="00C33814"/>
    <w:rsid w:val="00C34093"/>
    <w:rsid w:val="00C3555E"/>
    <w:rsid w:val="00C35BB4"/>
    <w:rsid w:val="00C363CB"/>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8A1"/>
    <w:rsid w:val="00C57C2D"/>
    <w:rsid w:val="00C61A05"/>
    <w:rsid w:val="00C6289F"/>
    <w:rsid w:val="00C638E2"/>
    <w:rsid w:val="00C638EE"/>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89C"/>
    <w:rsid w:val="00C7494C"/>
    <w:rsid w:val="00C75073"/>
    <w:rsid w:val="00C75331"/>
    <w:rsid w:val="00C757D4"/>
    <w:rsid w:val="00C75A2B"/>
    <w:rsid w:val="00C75B63"/>
    <w:rsid w:val="00C76F38"/>
    <w:rsid w:val="00C77460"/>
    <w:rsid w:val="00C77BE0"/>
    <w:rsid w:val="00C80498"/>
    <w:rsid w:val="00C80CAC"/>
    <w:rsid w:val="00C80EAF"/>
    <w:rsid w:val="00C814D9"/>
    <w:rsid w:val="00C81F96"/>
    <w:rsid w:val="00C82538"/>
    <w:rsid w:val="00C82964"/>
    <w:rsid w:val="00C83762"/>
    <w:rsid w:val="00C837EF"/>
    <w:rsid w:val="00C83B52"/>
    <w:rsid w:val="00C86037"/>
    <w:rsid w:val="00C860EA"/>
    <w:rsid w:val="00C8618F"/>
    <w:rsid w:val="00C86575"/>
    <w:rsid w:val="00C86D50"/>
    <w:rsid w:val="00C873A9"/>
    <w:rsid w:val="00C87572"/>
    <w:rsid w:val="00C8758D"/>
    <w:rsid w:val="00C8775F"/>
    <w:rsid w:val="00C87B22"/>
    <w:rsid w:val="00C904E2"/>
    <w:rsid w:val="00C908C8"/>
    <w:rsid w:val="00C90DDE"/>
    <w:rsid w:val="00C90E6B"/>
    <w:rsid w:val="00C91BF9"/>
    <w:rsid w:val="00C91ED6"/>
    <w:rsid w:val="00C922EA"/>
    <w:rsid w:val="00C92963"/>
    <w:rsid w:val="00C92F1C"/>
    <w:rsid w:val="00C93132"/>
    <w:rsid w:val="00C93567"/>
    <w:rsid w:val="00C9409F"/>
    <w:rsid w:val="00C945DF"/>
    <w:rsid w:val="00C947BF"/>
    <w:rsid w:val="00C948CA"/>
    <w:rsid w:val="00C94B60"/>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1F34"/>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0382"/>
    <w:rsid w:val="00CC18BC"/>
    <w:rsid w:val="00CC2064"/>
    <w:rsid w:val="00CC4F94"/>
    <w:rsid w:val="00CC4FF7"/>
    <w:rsid w:val="00CC52C7"/>
    <w:rsid w:val="00CC53B8"/>
    <w:rsid w:val="00CC575E"/>
    <w:rsid w:val="00CC6416"/>
    <w:rsid w:val="00CC6A2F"/>
    <w:rsid w:val="00CC6A58"/>
    <w:rsid w:val="00CC7C49"/>
    <w:rsid w:val="00CD03E7"/>
    <w:rsid w:val="00CD0483"/>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9C7"/>
    <w:rsid w:val="00CE4EF5"/>
    <w:rsid w:val="00CE5629"/>
    <w:rsid w:val="00CE5F4D"/>
    <w:rsid w:val="00CE6706"/>
    <w:rsid w:val="00CE6927"/>
    <w:rsid w:val="00CE6BE6"/>
    <w:rsid w:val="00CE6EC5"/>
    <w:rsid w:val="00CE74FA"/>
    <w:rsid w:val="00CE78E0"/>
    <w:rsid w:val="00CF0A55"/>
    <w:rsid w:val="00CF2A57"/>
    <w:rsid w:val="00CF3C33"/>
    <w:rsid w:val="00CF3E60"/>
    <w:rsid w:val="00CF3EF3"/>
    <w:rsid w:val="00CF48FB"/>
    <w:rsid w:val="00CF4ECC"/>
    <w:rsid w:val="00CF4F5C"/>
    <w:rsid w:val="00CF5F62"/>
    <w:rsid w:val="00CF6003"/>
    <w:rsid w:val="00CF6DE0"/>
    <w:rsid w:val="00CF7548"/>
    <w:rsid w:val="00CF7A02"/>
    <w:rsid w:val="00CF7B29"/>
    <w:rsid w:val="00CF7EC9"/>
    <w:rsid w:val="00D00688"/>
    <w:rsid w:val="00D0204D"/>
    <w:rsid w:val="00D022BC"/>
    <w:rsid w:val="00D05249"/>
    <w:rsid w:val="00D05899"/>
    <w:rsid w:val="00D060A8"/>
    <w:rsid w:val="00D061B0"/>
    <w:rsid w:val="00D06295"/>
    <w:rsid w:val="00D06F6C"/>
    <w:rsid w:val="00D0721D"/>
    <w:rsid w:val="00D074CD"/>
    <w:rsid w:val="00D1033C"/>
    <w:rsid w:val="00D105A5"/>
    <w:rsid w:val="00D10D1B"/>
    <w:rsid w:val="00D10EFC"/>
    <w:rsid w:val="00D113A9"/>
    <w:rsid w:val="00D11600"/>
    <w:rsid w:val="00D13FD1"/>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D29"/>
    <w:rsid w:val="00D50D66"/>
    <w:rsid w:val="00D5106B"/>
    <w:rsid w:val="00D51594"/>
    <w:rsid w:val="00D515FF"/>
    <w:rsid w:val="00D51E35"/>
    <w:rsid w:val="00D523A6"/>
    <w:rsid w:val="00D52827"/>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2E6"/>
    <w:rsid w:val="00D63717"/>
    <w:rsid w:val="00D63B45"/>
    <w:rsid w:val="00D63C12"/>
    <w:rsid w:val="00D63FF0"/>
    <w:rsid w:val="00D642BA"/>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DCC"/>
    <w:rsid w:val="00D97FAA"/>
    <w:rsid w:val="00DA1E14"/>
    <w:rsid w:val="00DA3A5C"/>
    <w:rsid w:val="00DA3BB0"/>
    <w:rsid w:val="00DA3E0E"/>
    <w:rsid w:val="00DA402F"/>
    <w:rsid w:val="00DA5866"/>
    <w:rsid w:val="00DA5DA7"/>
    <w:rsid w:val="00DA6EA6"/>
    <w:rsid w:val="00DA7209"/>
    <w:rsid w:val="00DA731B"/>
    <w:rsid w:val="00DA7D24"/>
    <w:rsid w:val="00DB07F8"/>
    <w:rsid w:val="00DB0CA2"/>
    <w:rsid w:val="00DB2279"/>
    <w:rsid w:val="00DB2C51"/>
    <w:rsid w:val="00DB3CA8"/>
    <w:rsid w:val="00DB4115"/>
    <w:rsid w:val="00DB446B"/>
    <w:rsid w:val="00DB4ECA"/>
    <w:rsid w:val="00DB54A4"/>
    <w:rsid w:val="00DB5AD6"/>
    <w:rsid w:val="00DB611E"/>
    <w:rsid w:val="00DB6279"/>
    <w:rsid w:val="00DB6582"/>
    <w:rsid w:val="00DB69C8"/>
    <w:rsid w:val="00DB6B12"/>
    <w:rsid w:val="00DB7A8E"/>
    <w:rsid w:val="00DC018C"/>
    <w:rsid w:val="00DC17A8"/>
    <w:rsid w:val="00DC2075"/>
    <w:rsid w:val="00DC2B4C"/>
    <w:rsid w:val="00DC2BAE"/>
    <w:rsid w:val="00DC32E6"/>
    <w:rsid w:val="00DC3781"/>
    <w:rsid w:val="00DC3AD2"/>
    <w:rsid w:val="00DC3EA9"/>
    <w:rsid w:val="00DC3F4C"/>
    <w:rsid w:val="00DC443F"/>
    <w:rsid w:val="00DC47DB"/>
    <w:rsid w:val="00DC5535"/>
    <w:rsid w:val="00DC5D62"/>
    <w:rsid w:val="00DC60B5"/>
    <w:rsid w:val="00DC6E5A"/>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60F1"/>
    <w:rsid w:val="00DF75A5"/>
    <w:rsid w:val="00DF75FE"/>
    <w:rsid w:val="00DF7F03"/>
    <w:rsid w:val="00E00223"/>
    <w:rsid w:val="00E01851"/>
    <w:rsid w:val="00E01A5B"/>
    <w:rsid w:val="00E02ED0"/>
    <w:rsid w:val="00E04A99"/>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CFF"/>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B16"/>
    <w:rsid w:val="00E2500C"/>
    <w:rsid w:val="00E25C27"/>
    <w:rsid w:val="00E25FE5"/>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51205"/>
    <w:rsid w:val="00E519DA"/>
    <w:rsid w:val="00E51D8E"/>
    <w:rsid w:val="00E5222D"/>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41"/>
    <w:rsid w:val="00E65086"/>
    <w:rsid w:val="00E65381"/>
    <w:rsid w:val="00E659CB"/>
    <w:rsid w:val="00E66744"/>
    <w:rsid w:val="00E66897"/>
    <w:rsid w:val="00E672DB"/>
    <w:rsid w:val="00E67A9E"/>
    <w:rsid w:val="00E67CBE"/>
    <w:rsid w:val="00E7003E"/>
    <w:rsid w:val="00E704E7"/>
    <w:rsid w:val="00E705CB"/>
    <w:rsid w:val="00E707BC"/>
    <w:rsid w:val="00E70B03"/>
    <w:rsid w:val="00E70F05"/>
    <w:rsid w:val="00E71096"/>
    <w:rsid w:val="00E710CC"/>
    <w:rsid w:val="00E7110E"/>
    <w:rsid w:val="00E71301"/>
    <w:rsid w:val="00E72012"/>
    <w:rsid w:val="00E7219B"/>
    <w:rsid w:val="00E7249E"/>
    <w:rsid w:val="00E72988"/>
    <w:rsid w:val="00E72D21"/>
    <w:rsid w:val="00E73982"/>
    <w:rsid w:val="00E73C88"/>
    <w:rsid w:val="00E756C8"/>
    <w:rsid w:val="00E75CA6"/>
    <w:rsid w:val="00E778A0"/>
    <w:rsid w:val="00E77F0C"/>
    <w:rsid w:val="00E77FA4"/>
    <w:rsid w:val="00E8062A"/>
    <w:rsid w:val="00E80D4F"/>
    <w:rsid w:val="00E831E4"/>
    <w:rsid w:val="00E83CB4"/>
    <w:rsid w:val="00E83EF1"/>
    <w:rsid w:val="00E844BE"/>
    <w:rsid w:val="00E849BA"/>
    <w:rsid w:val="00E849D5"/>
    <w:rsid w:val="00E85A5E"/>
    <w:rsid w:val="00E85A7B"/>
    <w:rsid w:val="00E860E8"/>
    <w:rsid w:val="00E862B3"/>
    <w:rsid w:val="00E862CD"/>
    <w:rsid w:val="00E86A8D"/>
    <w:rsid w:val="00E86B89"/>
    <w:rsid w:val="00E86DBF"/>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3B73"/>
    <w:rsid w:val="00EC47D7"/>
    <w:rsid w:val="00EC488F"/>
    <w:rsid w:val="00EC493D"/>
    <w:rsid w:val="00EC609D"/>
    <w:rsid w:val="00EC6244"/>
    <w:rsid w:val="00EC7B77"/>
    <w:rsid w:val="00ED0082"/>
    <w:rsid w:val="00ED03F5"/>
    <w:rsid w:val="00ED173F"/>
    <w:rsid w:val="00ED26C4"/>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486F"/>
    <w:rsid w:val="00F04AE2"/>
    <w:rsid w:val="00F05DD1"/>
    <w:rsid w:val="00F061E5"/>
    <w:rsid w:val="00F062C8"/>
    <w:rsid w:val="00F069DB"/>
    <w:rsid w:val="00F06B3B"/>
    <w:rsid w:val="00F07657"/>
    <w:rsid w:val="00F078B7"/>
    <w:rsid w:val="00F07C12"/>
    <w:rsid w:val="00F105CB"/>
    <w:rsid w:val="00F10A0C"/>
    <w:rsid w:val="00F10A6B"/>
    <w:rsid w:val="00F10B32"/>
    <w:rsid w:val="00F10BCB"/>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671"/>
    <w:rsid w:val="00F20E03"/>
    <w:rsid w:val="00F214B8"/>
    <w:rsid w:val="00F223EC"/>
    <w:rsid w:val="00F22453"/>
    <w:rsid w:val="00F22965"/>
    <w:rsid w:val="00F23862"/>
    <w:rsid w:val="00F2434B"/>
    <w:rsid w:val="00F2536E"/>
    <w:rsid w:val="00F25995"/>
    <w:rsid w:val="00F259AF"/>
    <w:rsid w:val="00F266A5"/>
    <w:rsid w:val="00F26D7F"/>
    <w:rsid w:val="00F27469"/>
    <w:rsid w:val="00F27770"/>
    <w:rsid w:val="00F27BE9"/>
    <w:rsid w:val="00F27E19"/>
    <w:rsid w:val="00F303D6"/>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2D3D"/>
    <w:rsid w:val="00F44D0B"/>
    <w:rsid w:val="00F44D10"/>
    <w:rsid w:val="00F44EB2"/>
    <w:rsid w:val="00F456F5"/>
    <w:rsid w:val="00F4726F"/>
    <w:rsid w:val="00F475F5"/>
    <w:rsid w:val="00F477AB"/>
    <w:rsid w:val="00F47DE4"/>
    <w:rsid w:val="00F501E1"/>
    <w:rsid w:val="00F511F3"/>
    <w:rsid w:val="00F525DA"/>
    <w:rsid w:val="00F53298"/>
    <w:rsid w:val="00F54F4E"/>
    <w:rsid w:val="00F553F6"/>
    <w:rsid w:val="00F56532"/>
    <w:rsid w:val="00F566FA"/>
    <w:rsid w:val="00F572D7"/>
    <w:rsid w:val="00F61EA3"/>
    <w:rsid w:val="00F62193"/>
    <w:rsid w:val="00F62621"/>
    <w:rsid w:val="00F628F2"/>
    <w:rsid w:val="00F62AF4"/>
    <w:rsid w:val="00F62F56"/>
    <w:rsid w:val="00F6362E"/>
    <w:rsid w:val="00F63CD8"/>
    <w:rsid w:val="00F64409"/>
    <w:rsid w:val="00F64442"/>
    <w:rsid w:val="00F64761"/>
    <w:rsid w:val="00F6519C"/>
    <w:rsid w:val="00F65944"/>
    <w:rsid w:val="00F659EF"/>
    <w:rsid w:val="00F6628F"/>
    <w:rsid w:val="00F6677F"/>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09D"/>
    <w:rsid w:val="00FA1A2D"/>
    <w:rsid w:val="00FA2532"/>
    <w:rsid w:val="00FA29B9"/>
    <w:rsid w:val="00FA2B73"/>
    <w:rsid w:val="00FA3AB7"/>
    <w:rsid w:val="00FA51A3"/>
    <w:rsid w:val="00FA5A87"/>
    <w:rsid w:val="00FA5E39"/>
    <w:rsid w:val="00FA5FB3"/>
    <w:rsid w:val="00FA5FB4"/>
    <w:rsid w:val="00FA7636"/>
    <w:rsid w:val="00FA7898"/>
    <w:rsid w:val="00FA7D27"/>
    <w:rsid w:val="00FB0743"/>
    <w:rsid w:val="00FB1122"/>
    <w:rsid w:val="00FB3970"/>
    <w:rsid w:val="00FB42C3"/>
    <w:rsid w:val="00FB49BC"/>
    <w:rsid w:val="00FB75A1"/>
    <w:rsid w:val="00FB76AF"/>
    <w:rsid w:val="00FC0218"/>
    <w:rsid w:val="00FC0A56"/>
    <w:rsid w:val="00FC179B"/>
    <w:rsid w:val="00FC26DC"/>
    <w:rsid w:val="00FC2DE5"/>
    <w:rsid w:val="00FC2FD5"/>
    <w:rsid w:val="00FC3697"/>
    <w:rsid w:val="00FC36C0"/>
    <w:rsid w:val="00FC3DC4"/>
    <w:rsid w:val="00FC3FA0"/>
    <w:rsid w:val="00FC482C"/>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268D"/>
    <w:rsid w:val="00FD335E"/>
    <w:rsid w:val="00FD3563"/>
    <w:rsid w:val="00FD4B93"/>
    <w:rsid w:val="00FD4E5E"/>
    <w:rsid w:val="00FD5247"/>
    <w:rsid w:val="00FD5AC8"/>
    <w:rsid w:val="00FD5F9C"/>
    <w:rsid w:val="00FD6330"/>
    <w:rsid w:val="00FD652D"/>
    <w:rsid w:val="00FD69C1"/>
    <w:rsid w:val="00FD74EF"/>
    <w:rsid w:val="00FD7B20"/>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5C8C"/>
    <w:rsid w:val="00FE605F"/>
    <w:rsid w:val="00FE7B14"/>
    <w:rsid w:val="00FF02A8"/>
    <w:rsid w:val="00FF0747"/>
    <w:rsid w:val="00FF13EE"/>
    <w:rsid w:val="00FF167C"/>
    <w:rsid w:val="00FF2181"/>
    <w:rsid w:val="00FF2539"/>
    <w:rsid w:val="00FF2D0C"/>
    <w:rsid w:val="00FF3662"/>
    <w:rsid w:val="00FF447A"/>
    <w:rsid w:val="00FF44F3"/>
    <w:rsid w:val="00FF5451"/>
    <w:rsid w:val="00FF5D07"/>
    <w:rsid w:val="00FF752A"/>
    <w:rsid w:val="00FF7884"/>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1F25C-A10A-4082-B38A-EBE4C11D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48E"/>
    <w:pPr>
      <w:ind w:left="720"/>
      <w:contextualSpacing/>
    </w:pPr>
  </w:style>
  <w:style w:type="paragraph" w:styleId="Header">
    <w:name w:val="header"/>
    <w:basedOn w:val="Normal"/>
    <w:link w:val="HeaderChar"/>
    <w:uiPriority w:val="99"/>
    <w:unhideWhenUsed/>
    <w:rsid w:val="00636F80"/>
    <w:pPr>
      <w:tabs>
        <w:tab w:val="center" w:pos="4680"/>
        <w:tab w:val="right" w:pos="9360"/>
      </w:tabs>
    </w:pPr>
  </w:style>
  <w:style w:type="character" w:customStyle="1" w:styleId="HeaderChar">
    <w:name w:val="Header Char"/>
    <w:basedOn w:val="DefaultParagraphFont"/>
    <w:link w:val="Header"/>
    <w:uiPriority w:val="99"/>
    <w:rsid w:val="00636F80"/>
    <w:rPr>
      <w:rFonts w:ascii="Times New Roman" w:hAnsi="Times New Roman"/>
      <w:sz w:val="24"/>
    </w:rPr>
  </w:style>
  <w:style w:type="paragraph" w:styleId="Footer">
    <w:name w:val="footer"/>
    <w:basedOn w:val="Normal"/>
    <w:link w:val="FooterChar"/>
    <w:uiPriority w:val="99"/>
    <w:unhideWhenUsed/>
    <w:rsid w:val="00636F80"/>
    <w:pPr>
      <w:tabs>
        <w:tab w:val="center" w:pos="4680"/>
        <w:tab w:val="right" w:pos="9360"/>
      </w:tabs>
    </w:pPr>
  </w:style>
  <w:style w:type="character" w:customStyle="1" w:styleId="FooterChar">
    <w:name w:val="Footer Char"/>
    <w:basedOn w:val="DefaultParagraphFont"/>
    <w:link w:val="Footer"/>
    <w:uiPriority w:val="99"/>
    <w:rsid w:val="00636F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Calegari</cp:lastModifiedBy>
  <cp:revision>10</cp:revision>
  <cp:lastPrinted>2012-01-31T03:51:00Z</cp:lastPrinted>
  <dcterms:created xsi:type="dcterms:W3CDTF">2012-01-31T03:56:00Z</dcterms:created>
  <dcterms:modified xsi:type="dcterms:W3CDTF">2019-06-18T18:12:00Z</dcterms:modified>
</cp:coreProperties>
</file>